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58939-2023 i Lindesbergs kommun</w:t>
      </w:r>
    </w:p>
    <w:p>
      <w:r>
        <w:t>Detta klagomål behandlar höga naturvärden i avverkningsanmälan A 58939-2023 i Lindesbergs kommun som inkom 2023-11-22 och omfattar 4,7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58939-2023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6611888, E 504757 i SWEREF 99 TM.</w:t>
      </w:r>
    </w:p>
    <w:p>
      <w:r>
        <w:t>I och inom 25 meter från avverkningsanmälan finns fynd av 16 naturvårdsarter, varav 9 är rödlistade, 5 är fridlysta, 3 är typiska (T) och 5 är signalarter (S): ask (EN), asknätfjäril (EN, §4a), skogsalm (EN), violgubbe (EN), grantaggsvamp (NT), gultoppig fingersvamp (NT), skogsklocka (NT), sotnätfjäril (NT), svinrot (NT), grov husmossa (S), skogsknipprot (S, T, §8), svavelriska (S), tibast (S, T), tvåblad (S, §8),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