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49945-2025 i Lindesbergs kommun</w:t>
      </w:r>
    </w:p>
    <w:p>
      <w:r>
        <w:t>Detta klagomål behandlar höga naturvärden i avverkningsanmälan A 49945-2025 i Lindesbergs kommun som inkom 2025-10-10 och omfattar 2,4 ha.</w:t>
      </w:r>
    </w:p>
    <w:p>
      <w:pPr>
        <w:pStyle w:val="Caption"/>
      </w:pPr>
      <w:r>
        <w:drawing>
          <wp:inline xmlns:a="http://schemas.openxmlformats.org/drawingml/2006/main" xmlns:pic="http://schemas.openxmlformats.org/drawingml/2006/picture">
            <wp:extent cx="5486400" cy="4654956"/>
            <wp:docPr id="1" name="Picture 1"/>
            <wp:cNvGraphicFramePr>
              <a:graphicFrameLocks noChangeAspect="1"/>
            </wp:cNvGraphicFramePr>
            <a:graphic>
              <a:graphicData uri="http://schemas.openxmlformats.org/drawingml/2006/picture">
                <pic:pic>
                  <pic:nvPicPr>
                    <pic:cNvPr id="0" name="A 49945-2025 karta.png"/>
                    <pic:cNvPicPr/>
                  </pic:nvPicPr>
                  <pic:blipFill>
                    <a:blip r:embed="rId16"/>
                    <a:stretch>
                      <a:fillRect/>
                    </a:stretch>
                  </pic:blipFill>
                  <pic:spPr>
                    <a:xfrm>
                      <a:off x="0" y="0"/>
                      <a:ext cx="5486400" cy="465495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6614790, E 528754 i SWEREF 99 TM.</w:t>
      </w:r>
    </w:p>
    <w:p>
      <w:r>
        <w:t>I och inom 21 meter från avverkningsanmälan finns fynd av 5 naturvårdsarter, varav 1 är rödlistad, 1 är fridlyst, 3 är typiska (T) och 3 är signalarter (S): motaggsvamp (NT, T), toppvaxing (S), vanlig rörsvepemossa (S, T), zontaggsvamp (S)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