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58939-2023 i Lindesbergs kommun</w:t>
      </w:r>
    </w:p>
    <w:p>
      <w:r>
        <w:t>Detta dokument behandlar höga naturvärden i avverkningsanmälan A 58939-2023 i Lindesbergs kommun. Denna avverkningsanmälan inkom 2023-11-22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15 naturvårdsarter hittats: skogsalm (CR), ask (EN), asknätfjäril (EN, §4a), violgubbe (VU), grantaggsvamp (NT), gultoppig fingersvamp (NT), skogsklocka (NT), sotnätfjäril (NT), svinrot (NT), grov husmossa (S), skogsknipprot (S, §8), svavelriska (S), tibast (S), tvåblad (S, §8) och blåsippa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0425"/>
            <wp:docPr id="1" name="Picture 1"/>
            <wp:cNvGraphicFramePr>
              <a:graphicFrameLocks noChangeAspect="1"/>
            </wp:cNvGraphicFramePr>
            <a:graphic>
              <a:graphicData uri="http://schemas.openxmlformats.org/drawingml/2006/picture">
                <pic:pic>
                  <pic:nvPicPr>
                    <pic:cNvPr id="0" name="A 58939-2023 karta.png"/>
                    <pic:cNvPicPr/>
                  </pic:nvPicPr>
                  <pic:blipFill>
                    <a:blip r:embed="rId16"/>
                    <a:stretch>
                      <a:fillRect/>
                    </a:stretch>
                  </pic:blipFill>
                  <pic:spPr>
                    <a:xfrm>
                      <a:off x="0" y="0"/>
                      <a:ext cx="5486400" cy="50904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6611888, E 504757 i SWEREF 99 TM.</w:t>
      </w:r>
    </w:p>
    <w:p>
      <w:pPr>
        <w:pStyle w:val="Heading1"/>
      </w:pPr>
      <w:r>
        <w:t>Fridlysta arter</w:t>
      </w:r>
    </w:p>
    <w:p>
      <w:r>
        <w:t>Följande fridlysta arter har sina livsmiljöer och växtplatser i den avverkningsanmälda skogen: asknätfjäril (EN, §4a), skogsknipprot (S, §8), tvåblad (S,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