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dokument behandlar höga naturvärden i avverkningsanmälan A 53665-2024 i Lindesbergs kommun. Denna avverkningsanmälan inkom 2024-11-19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stubbdaggkåpa (VU), violgubbe (VU), björktrast (NT, §4), blek fingersvamp (NT), entita (NT, §4), grönsångare (NT, §4), gullmurkling (NT), gultoppig fingersvamp (NT), spillkråka (NT, §4), talltita (NT, §4), trollfibbla (NT), ullticka (NT), grön sköldmossa (S, §8), gulnande spindling (S), mörk husmossa (S), olivspindling (S), rödgul trumpetsvamp (S), skogshakmossa (S), skogsknipprot (S, §8), stubbspretmossa (S), svart trolldruva (S), svavelriska (S), tibast (S), trind spretmossa (S), trubbfjädermossa (S), tvåblad (S, §8), underviol (S), västlig hakmossa (S), vätteros (S), vårärt (S), gröngöling (§4), grönsiska (§4), järnsparv (§4), kungsfågel (§4), sångsvan (§4), fläcknycklar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6611184, E 504026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björktrast (NT, §4), entita (NT, §4), grönsångare (NT, §4), spillkråka (NT, §4), talltita (NT, §4), grön sköldmossa (S, §8), skogsknipprot (S, §8), tvåblad (S, §8), gröngöling (§4), grönsiska (§4), järnsparv (§4), kungsfågel (§4), sångsvan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