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39602-2026 i Lindesbergs kommun</w:t>
      </w:r>
    </w:p>
    <w:p>
      <w:r>
        <w:t>Detta klagomål behandlar höga naturvärden i avverkningsanmälan A 39602-2026 i Lindesbergs kommun som inkom 2026-09-24 och omfattar 2,5 ha.</w:t>
      </w:r>
    </w:p>
    <w:p>
      <w:pPr>
        <w:pStyle w:val="Caption"/>
      </w:pPr>
      <w:r>
        <w:drawing>
          <wp:inline xmlns:a="http://schemas.openxmlformats.org/drawingml/2006/main" xmlns:pic="http://schemas.openxmlformats.org/drawingml/2006/picture">
            <wp:extent cx="5486400" cy="5007975"/>
            <wp:docPr id="1" name="Picture 1"/>
            <wp:cNvGraphicFramePr>
              <a:graphicFrameLocks noChangeAspect="1"/>
            </wp:cNvGraphicFramePr>
            <a:graphic>
              <a:graphicData uri="http://schemas.openxmlformats.org/drawingml/2006/picture">
                <pic:pic>
                  <pic:nvPicPr>
                    <pic:cNvPr id="0" name="A 39602-2026 karta.png"/>
                    <pic:cNvPicPr/>
                  </pic:nvPicPr>
                  <pic:blipFill>
                    <a:blip r:embed="rId16"/>
                    <a:stretch>
                      <a:fillRect/>
                    </a:stretch>
                  </pic:blipFill>
                  <pic:spPr>
                    <a:xfrm>
                      <a:off x="0" y="0"/>
                      <a:ext cx="5486400" cy="500797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6639621, E 518526 i SWEREF 99 TM.</w:t>
      </w:r>
    </w:p>
    <w:p>
      <w:r>
        <w:t>I och inom 24 meter från avverkningsanmälan finns fynd av 8 naturvårdsarter, varav 2 är rödlistade, 1 är fridlyst, 6 är typiska (T) och 6 är signalarter (S): aspgelélav (VU, T), grentaggsvamp (NT), bårdlav (S, T), grön sköldmossa (S, T, §8), korallblylav (S, T), mörk husmossa (S, T), Scytinium lichenoides s.lat. (S, T) och sotriska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 xml:space="preserve">Grentaggsvamp (NT) </w:t>
      </w:r>
      <w:r>
        <w:t>är en vedlevande taggsvamp som lever parasitiskt på grova, levande lövträd oftast bok, asp, björk, hästkastanj, poppel, lönn, rönn och oxel. Den förekommer gärna på kyrkogårdar, i alléer, parker, lövskogar och hagmarker men även i slutna skogar. Främsta hotet är avverkning av äldre grova lövträd i kulturlandskapet och i parker. Arten missgynnas på sikt av att det inte tillkommer lika mycket solitära lövträd som motsvarar vad som dör eller tas bort. Det behövs tydlig information till markägare, parkförvaltningar och liknande instanser om värdet av äldre träd och hur de ska skötas. Det behövs också en kampanj för att nyskapa dessa miljöer som är viktiga för ett stort antal hotade arter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