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klagomål behandlar höga naturvärden i avverkningsanmälan A 42634-2025 i Lindesbergs kommun som inkom 2025-09-05 och omfattar 3,6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6619675, E 523413 i SWEREF 99 TM.</w:t>
      </w:r>
    </w:p>
    <w:p>
      <w:r>
        <w:t>I och inom 25 meter från avverkningsanmälan finns fynd av 16 naturvårdsarter, varav 9 är rödlistade, 4 är fridlysta, 7 är typiska (T) och 4 är signalarter (S): knärot (VU, T, §8), rotfingersvamp (VU), dropptaggsvamp (NT, T), fjällig taggsvamp s.str. (NT), kandelabersvamp (NT, T), motaggsvamp (NT, T), skarp dropptaggsvamp (NT), sotvaxskivling (NT), svartvit taggsvamp (NT), blomkålssvamp (S), honungsvaxing (S), rävticka (S, T), vedticka (S, T), mattlummer (T, §9),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