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28033-2023 i Lindesbergs kommun</w:t>
      </w:r>
    </w:p>
    <w:p>
      <w:r>
        <w:t>Denna tillsynsbegäran behandlar höga naturvärden i avverkningsanmälan A 28033-2023 i Lindesbergs kommun som inkom 2023-06-22 och omfattar 1,6 ha.</w:t>
      </w:r>
    </w:p>
    <w:p>
      <w:pPr>
        <w:pStyle w:val="Caption"/>
      </w:pPr>
      <w:r>
        <w:drawing>
          <wp:inline xmlns:a="http://schemas.openxmlformats.org/drawingml/2006/main" xmlns:pic="http://schemas.openxmlformats.org/drawingml/2006/picture">
            <wp:extent cx="5475621" cy="5724000"/>
            <wp:docPr id="1" name="Picture 1"/>
            <wp:cNvGraphicFramePr>
              <a:graphicFrameLocks noChangeAspect="1"/>
            </wp:cNvGraphicFramePr>
            <a:graphic>
              <a:graphicData uri="http://schemas.openxmlformats.org/drawingml/2006/picture">
                <pic:pic>
                  <pic:nvPicPr>
                    <pic:cNvPr id="0" name="A 28033-2023 karta.png"/>
                    <pic:cNvPicPr/>
                  </pic:nvPicPr>
                  <pic:blipFill>
                    <a:blip r:embed="rId16"/>
                    <a:stretch>
                      <a:fillRect/>
                    </a:stretch>
                  </pic:blipFill>
                  <pic:spPr>
                    <a:xfrm>
                      <a:off x="0" y="0"/>
                      <a:ext cx="547562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6610196, E 503307 i SWEREF 99 TM.</w:t>
      </w:r>
    </w:p>
    <w:p>
      <w:r>
        <w:t>I och inom 25 meter från avverkningsanmälan finns fynd av 6 naturvårdsarter, varav 3 är rödlistade, 2 är fridlysta, 3 är typiska (T) och 2 är signalarter (S): ask (EN), asknätfjäril (EN, §4a), skogsalm (EN), svart trolldruva (S, T), tibast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