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53665-2024 i Lindesbergs kommun</w:t>
      </w:r>
    </w:p>
    <w:p>
      <w:r>
        <w:t>Denna tillsynsbegäran behandlar höga naturvärden i avverkningsanmälan A 53665-2024 i Lindesbergs kommun som inkom 2024-11-19 och omfattar 11,1 ha.</w:t>
      </w:r>
    </w:p>
    <w:p>
      <w:pPr>
        <w:pStyle w:val="Caption"/>
      </w:pPr>
      <w:r>
        <w:drawing>
          <wp:inline xmlns:a="http://schemas.openxmlformats.org/drawingml/2006/main" xmlns:pic="http://schemas.openxmlformats.org/drawingml/2006/picture">
            <wp:extent cx="4924146" cy="5724000"/>
            <wp:docPr id="1" name="Picture 1"/>
            <wp:cNvGraphicFramePr>
              <a:graphicFrameLocks noChangeAspect="1"/>
            </wp:cNvGraphicFramePr>
            <a:graphic>
              <a:graphicData uri="http://schemas.openxmlformats.org/drawingml/2006/picture">
                <pic:pic>
                  <pic:nvPicPr>
                    <pic:cNvPr id="0" name="A 53665-2024 karta.png"/>
                    <pic:cNvPicPr/>
                  </pic:nvPicPr>
                  <pic:blipFill>
                    <a:blip r:embed="rId16"/>
                    <a:stretch>
                      <a:fillRect/>
                    </a:stretch>
                  </pic:blipFill>
                  <pic:spPr>
                    <a:xfrm>
                      <a:off x="0" y="0"/>
                      <a:ext cx="492414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6611184, E 504026 i SWEREF 99 TM.</w:t>
      </w:r>
    </w:p>
    <w:p>
      <w:r>
        <w:t>I och inom 25 meter från avverkningsanmälan finns fynd av 49 naturvårdsarter, varav 19 är rödlistade, 22 är fridlysta, 18 är typiska (T) och 18 är signalarter (S): ask (EN), skogsalm (EN), violgubbe (EN), stubbdaggkåpa (VU), björktrast (NT, §4), blek fingersvamp (NT), entita (NT, T, §4), grönsångare (NT, §4), gullmurkling (NT), gullpudra (NT, T), gultoppig fingersvamp (NT), järnsparv (NT, §4), mindre hackspett (NT, T, §4), nötkråka (NT, T, §4), svart skogssnigel (NT), talltita (NT, §4), trollfibbla (NT), ullticka (NT, T), vårärt (NT, T), brandticka (S), grön sköldmossa (S, T, §8), gulnande spindling (S), mörk husmossa (S, T), olivspindling (S), rödgul trumpetsvamp (S), skogshakmossa (S, T), skogsknipprot (S, T, §8), stubbspretmossa (S, T), svart trolldruva (S, T), svavelriska (S), tibast (S, T), trind spretmossa (S), trubbfjädermossa (S, T), tvåblad (S, §8), underviol (S, T), västlig hakmossa (S), vätteros (S, T), blåsippa (T, §9), spillkråka (T, §4), gröngöling (§4), grönsiska (§4), kungsfågel (§4), svartvit flugsnappare (§4), sångsvan (§4), vanlig groda (§6), fläcknycklar (§8), gullviva (§9),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Gullmurkling (NT)</w:t>
      </w:r>
      <w:r>
        <w:t xml:space="preserve"> är placerad högst upp i Skogsstyrelsens värdepyramid för bedömning av skog med höga naturvärden och är överallt en mycket bra signalart som visar på skyddsvärda granskogar och skogsbäckar. Kända växtplatser bör inte kalavverkas eller markberedas och tunga, terränggående maskiner bör inte användas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gullpudra (NT, T), mindre hackspett (NT, T, §4), nötkråka (NT, T, §4), ullticka (NT, T), vårärt (NT, T), grön sköldmossa (S, T, §8), mörk husmossa (S, T), skogshakmossa (S, T), skogsknipprot (S, T, §8), stubbspretmossa (S, T), svart trolldruva (S, T), tibast (S, T), trubbfjädermossa (S, T), underviol (S, T), vätteros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