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skogsalm (CR), ask (EN), stubbdaggkåpa (VU), violgubbe (VU), björktrast (NT, §4), blek fingersvamp (NT), entita (NT, §4), grönsångare (NT, §4), gullmurkling (NT), gultoppig fingersvamp (NT), spillkråka (NT, §4), talltita (NT, §4), trollfibbla (NT), ullticka (NT), grön sköldmossa (S, §8), gulnande spindling (S), mörk husmossa (S), olivspindling (S), rödgul trumpetsvamp (S), skogshakmossa (S), skogsknipprot (S, §8), stubbspretmossa (S), svart trolldruva (S), svavelriska (S), tibast (S), trind spretmossa (S), trubbfjädermossa (S), tvåblad (S, §8), underviol (S), västlig hakmossa (S), vätteros (S), vårärt (S), gröngöling (§4), grönsiska (§4), järnsparv (§4), kungsfågel (§4), sångsvan (§4), fläcknycklar (§8), blåsippa (§9), lopplummer (aggregat)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björktrast (NT, §4), entita (NT, §4), grönsångare (NT, §4), spillkråka (NT, §4), talltita (NT, §4), grön sköldmossa (S, §8), skogsknipprot (S, §8), tvåblad (S, §8), gröngöling (§4), grönsiska (§4), järnsparv (§4), kungsfågel (§4), sångsvan (§4), fläcknycklar (§8), blåsippa (§9),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