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43429-2024 i Lindesbergs kommun</w:t>
      </w:r>
    </w:p>
    <w:p>
      <w:r>
        <w:t>Detta dokument behandlar höga naturvärden i avverkningsanmälan A 43429-2024 i Lindesbergs kommun. Denna avverkningsanmälan inkom 2024-10-03 och omfattar 9,7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lappuggla (VU, §4), tallriska (NT), dropptaggsvamp (S), tallfingersvamp (S), fiskgjuse (§4)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43429-2024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6636849, E 514947 i SWEREF 99 TM.</w:t>
      </w:r>
    </w:p>
    <w:p>
      <w:pPr>
        <w:pStyle w:val="Heading1"/>
      </w:pPr>
      <w:r>
        <w:t>Fridlysta arter</w:t>
      </w:r>
    </w:p>
    <w:p>
      <w:r>
        <w:t>Följande fridlysta arter har sina livsmiljöer och växtplatser i den avverkningsanmälda skogen: lappuggla (VU, §4), fiskgjuse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