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19090-2020 i Lindesbergs kommun</w:t>
      </w:r>
    </w:p>
    <w:p>
      <w:r>
        <w:t>Detta dokument behandlar höga naturvärden i avverkningsanmälan A 19090-2020 i Lindesbergs kommun. Denna avverkningsanmälan inkom 2020-04-15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skuggbagge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5739"/>
            <wp:docPr id="1" name="Picture 1"/>
            <wp:cNvGraphicFramePr>
              <a:graphicFrameLocks noChangeAspect="1"/>
            </wp:cNvGraphicFramePr>
            <a:graphic>
              <a:graphicData uri="http://schemas.openxmlformats.org/drawingml/2006/picture">
                <pic:pic>
                  <pic:nvPicPr>
                    <pic:cNvPr id="0" name="A 19090-2020 karta.png"/>
                    <pic:cNvPicPr/>
                  </pic:nvPicPr>
                  <pic:blipFill>
                    <a:blip r:embed="rId16"/>
                    <a:stretch>
                      <a:fillRect/>
                    </a:stretch>
                  </pic:blipFill>
                  <pic:spPr>
                    <a:xfrm>
                      <a:off x="0" y="0"/>
                      <a:ext cx="5486400" cy="7815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6619628, E 528346 i SWEREF 99 TM.</w:t>
      </w:r>
    </w:p>
    <w:p>
      <w:r>
        <w:rPr>
          <w:b/>
        </w:rPr>
        <w:t>Smal skuggbagge (VU)</w:t>
      </w:r>
      <w:r>
        <w:t xml:space="preserve"> omfattas av EU:s art- och habitatdirektiv där dess bevarandestatus är dålig med negativ trend. Larvutvecklingen sker under bark på nyligen döda träd, främst stående döda tallar som varit döda 3–6 år och angripna av blånadssvampen </w:t>
      </w:r>
      <w:r>
        <w:rPr>
          <w:i/>
        </w:rPr>
        <w:t>Ophiostoma pini</w:t>
      </w:r>
      <w:r>
        <w:t>. Arten är nästan uteslutande funnen i gamla skogsbestånd med höga naturvärden, och har förmodligen mycket svårt att klara modernt skogsbruk. Förvaltningsarbetet bör fokusera på återställandet av tillräcklig mängd död ved av tillräckligt hög kvalitet, särskilt viktigt är det med permanent och kontinuerlig tillgång på döda stående träd av tall med stor diameter och kvarsittande bark. Dessa villkor kan troligen endast uppnås under strikt skydd. Arten är rödlistad som sårbar (VU) på den europeiska rödlistan och omfattas av ett åtgärdsprogram för hotade arter (ÅGP) (SLU Artdatabanken, 2024; Zinko &amp; Vernerback 2018; Pettersson, 2014; Gutowski m.fl.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