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26749-2025 i Lindesbergs kommun</w:t>
      </w:r>
    </w:p>
    <w:p>
      <w:r>
        <w:t>Detta dokument behandlar höga naturvärden i avverkningsanmälan A 26749-2025 i Lindesbergs kommun. Denna avverkningsanmälan inkom 2025-06-02 13:09:28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gulsparv (NT, §4), grönsiska (§4), järnsparv (§4), kungsfågel (§4), trädlärka (§4),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26749-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6596013, E 533907 i SWEREF 99 TM.</w:t>
      </w:r>
    </w:p>
    <w:p>
      <w:pPr>
        <w:pStyle w:val="Heading1"/>
      </w:pPr>
      <w:r>
        <w:t>Fridlysta arter</w:t>
      </w:r>
    </w:p>
    <w:p>
      <w:r>
        <w:t>Följande fridlysta arter har sina livsmiljöer och växtplatser i den avverkningsanmälda skogen: knärot (VU, §8), gulsparv (NT, §4), grönsiska (§4), järnsparv (§4), kungsfågel (§4), trädlärka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6749-2025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6596013, E 533907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