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39593-2026 i Lindesbergs kommun</w:t>
      </w:r>
    </w:p>
    <w:p>
      <w:r>
        <w:t>Detta klagomål behandlar höga naturvärden i avverkningsanmälan A 39593-2026 i Lindesbergs kommun som inkom 2026-09-24 och omfattar 1,7 ha.</w:t>
      </w:r>
    </w:p>
    <w:p>
      <w:pPr>
        <w:pStyle w:val="Caption"/>
      </w:pPr>
      <w:r>
        <w:drawing>
          <wp:inline xmlns:a="http://schemas.openxmlformats.org/drawingml/2006/main" xmlns:pic="http://schemas.openxmlformats.org/drawingml/2006/picture">
            <wp:extent cx="5486400" cy="5476973"/>
            <wp:docPr id="1" name="Picture 1"/>
            <wp:cNvGraphicFramePr>
              <a:graphicFrameLocks noChangeAspect="1"/>
            </wp:cNvGraphicFramePr>
            <a:graphic>
              <a:graphicData uri="http://schemas.openxmlformats.org/drawingml/2006/picture">
                <pic:pic>
                  <pic:nvPicPr>
                    <pic:cNvPr id="0" name="A 39593-2026 karta.png"/>
                    <pic:cNvPicPr/>
                  </pic:nvPicPr>
                  <pic:blipFill>
                    <a:blip r:embed="rId16"/>
                    <a:stretch>
                      <a:fillRect/>
                    </a:stretch>
                  </pic:blipFill>
                  <pic:spPr>
                    <a:xfrm>
                      <a:off x="0" y="0"/>
                      <a:ext cx="5486400" cy="5476973"/>
                    </a:xfrm>
                    <a:prstGeom prst="rect"/>
                  </pic:spPr>
                </pic:pic>
              </a:graphicData>
            </a:graphic>
          </wp:inline>
        </w:drawing>
      </w:r>
    </w:p>
    <w:p>
      <w:pPr>
        <w:pStyle w:val="Caption"/>
        <w:spacing w:after="240"/>
      </w:pPr>
      <w:r>
        <w:t>Figur 1. Fyndplatser för naturvårdsarter i och inom 25 meter från avverkningsanmälan. Markörer utan svart kant är placerade på fyndplatsen. Markörer med svart kant är placerade vid sidan av fyndplatsen och har ett svart streck som visar fyndplatsens exakta position. Kartans mittpunktskoordinat är N 6639568, E 518402 i SWEREF 99 TM.</w:t>
      </w:r>
    </w:p>
    <w:p>
      <w:r>
        <w:t>I och inom 25 meter från avverkningsanmälan finns fynd av 2 naturvårdsarter, varav 1 är rödlistad, 1 är typisk (T) och 1 är signalart (S): grentaggsvamp (NT) och tibast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Grentaggsvamp (NT) </w:t>
      </w:r>
      <w:r>
        <w:t>är en vedlevande taggsvamp som lever parasitiskt på grova, levande lövträd oftast bok, asp, björk, hästkastanj, poppel, lönn, rönn och oxel. Den förekommer gärna på kyrkogårdar, i alléer, parker, lövskogar och hagmarker men även i slutna skogar. Främsta hotet är avverkning av äldre grova lövträd i kulturlandskapet och i parker. Arten missgynnas på sikt av att det inte tillkommer lika mycket solitära lövträd som motsvarar vad som dör eller tas bort. Det behövs tydlig information till markägare, parkförvaltningar och liknande instanser om värdet av äldre träd och hur de ska skötas. Det behövs också en kampanj för att nyskapa dessa miljöer som är viktiga för ett stort antal hotade arter (SLU Artdatabanken, 2025).</w:t>
      </w:r>
    </w:p>
    <w:p>
      <w:r>
        <w:rPr>
          <w:b/>
        </w:rPr>
        <w:t>Tibast</w:t>
      </w:r>
      <w:r>
        <w:t xml:space="preserve"> är en kalkgynnad buske som växer på mullrik, frisk eller svagt fuktig mark, exempelvis i gamla kalkgranskogar, lövträdslundar, varma källpåverkade sluttningar och exklusiva biotoper kopplade till vattendrag. Förekomster i gammal skog visar på höga naturvärden och bör alltid noteras i samband med naturvärdesinventeringar. Tibast är typisk art för </w:t>
      </w:r>
      <w:r>
        <w:rPr>
          <w:i/>
        </w:rPr>
        <w:t>9050 Näringsrik granskog</w:t>
      </w:r>
      <w:r>
        <w:t xml:space="preserve"> och värdväxt för de två fjärilsarterna större tibastmal och brun tibastmal (CR)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