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19260-2026 i Lindesbergs kommun</w:t>
      </w:r>
    </w:p>
    <w:p>
      <w:r>
        <w:t>Denna tillsynsbegäran behandlar höga naturvärden i avverkningsanmälan A 19260-2026 i Lindesbergs kommun som inkom 2026-04-20 och omfattar 1,4 ha.</w:t>
      </w:r>
    </w:p>
    <w:p>
      <w:pPr>
        <w:pStyle w:val="Caption"/>
      </w:pPr>
      <w:r>
        <w:drawing>
          <wp:inline xmlns:a="http://schemas.openxmlformats.org/drawingml/2006/main" xmlns:pic="http://schemas.openxmlformats.org/drawingml/2006/picture">
            <wp:extent cx="5486400" cy="4375287"/>
            <wp:docPr id="1" name="Picture 1"/>
            <wp:cNvGraphicFramePr>
              <a:graphicFrameLocks noChangeAspect="1"/>
            </wp:cNvGraphicFramePr>
            <a:graphic>
              <a:graphicData uri="http://schemas.openxmlformats.org/drawingml/2006/picture">
                <pic:pic>
                  <pic:nvPicPr>
                    <pic:cNvPr id="0" name="A 19260-2026 karta.png"/>
                    <pic:cNvPicPr/>
                  </pic:nvPicPr>
                  <pic:blipFill>
                    <a:blip r:embed="rId16"/>
                    <a:stretch>
                      <a:fillRect/>
                    </a:stretch>
                  </pic:blipFill>
                  <pic:spPr>
                    <a:xfrm>
                      <a:off x="0" y="0"/>
                      <a:ext cx="5486400" cy="4375287"/>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6605609, E 508549 i SWEREF 99 TM.</w:t>
      </w:r>
    </w:p>
    <w:p>
      <w:r>
        <w:t>I och inom 18 meter från avverkningsanmälan finns fynd av 9 naturvårdsarter, varav 4 är rödlistade, 7 är fridlysta, 5 är typiska (T) och 1 är signalart (S): grönsångare (NT, §4), sädesärla (NT, §4), tretåig hackspett (NT, T, §4), ullticka (NT, T), bronshjon (S, T), spillkråka (T, §4), tofsmes (T, §4), grönsiska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tretåig hackspett (NT, T, §4), ullticka (NT, T), bronshjon (S, T), spillkråka (T, §4)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