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21986-2023 i Lindesbergs kommun</w:t>
      </w:r>
    </w:p>
    <w:p>
      <w:r>
        <w:t>Denna tillsynsbegäran behandlar höga naturvärden i avverkningsanmälan A 21986-2023 i Lindesbergs kommun som inkom 2023-05-22 och omfattar 1,4 ha.</w:t>
      </w:r>
    </w:p>
    <w:p>
      <w:pPr>
        <w:pStyle w:val="Caption"/>
      </w:pPr>
      <w:r>
        <w:drawing>
          <wp:inline xmlns:a="http://schemas.openxmlformats.org/drawingml/2006/main" xmlns:pic="http://schemas.openxmlformats.org/drawingml/2006/picture">
            <wp:extent cx="4252676" cy="5724000"/>
            <wp:docPr id="1" name="Picture 1"/>
            <wp:cNvGraphicFramePr>
              <a:graphicFrameLocks noChangeAspect="1"/>
            </wp:cNvGraphicFramePr>
            <a:graphic>
              <a:graphicData uri="http://schemas.openxmlformats.org/drawingml/2006/picture">
                <pic:pic>
                  <pic:nvPicPr>
                    <pic:cNvPr id="0" name="A 21986-2023 karta.png"/>
                    <pic:cNvPicPr/>
                  </pic:nvPicPr>
                  <pic:blipFill>
                    <a:blip r:embed="rId16"/>
                    <a:stretch>
                      <a:fillRect/>
                    </a:stretch>
                  </pic:blipFill>
                  <pic:spPr>
                    <a:xfrm>
                      <a:off x="0" y="0"/>
                      <a:ext cx="4252676"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6611150, E 505057 i SWEREF 99 TM.</w:t>
      </w:r>
    </w:p>
    <w:p>
      <w:r>
        <w:t>Inom 25 meter från avverkningsanmälan finns fynd av 3 naturvårdsarter, varav 3 är rödlistade och 2 är fridlysta: ask (EN), asknätfjäril (EN, §4a) och väddnätfjäril (VU,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