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38736-2026 i Lindesbergs kommun</w:t>
      </w:r>
    </w:p>
    <w:p>
      <w:r>
        <w:t>Denna tillsynsbegäran behandlar höga naturvärden i avverkningsanmälan A 38736-2026 i Lindesbergs kommun som inkom 2026-09-20 och omfattar 1,7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A 38736-2026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6636332, E 517064 i SWEREF 99 TM.</w:t>
      </w:r>
    </w:p>
    <w:p>
      <w:r>
        <w:t>I och inom 22 meter från avverkningsanmälan finns fynd av 10 naturvårdsarter, varav 3 är fridlysta, 8 är typiska (T) och 1 är signalart (S): mörk husmossa (S, T), ekbräken (T), hultbräken (T), linnea (T), majbräken (T), skogsstjärna (T), stjärtmes (T, §4), sälg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 xml:space="preserve">Skogsstjärna </w:t>
      </w:r>
      <w:r>
        <w:t xml:space="preserve">är typisk art för </w:t>
      </w:r>
      <w:r>
        <w:rPr>
          <w:i/>
        </w:rPr>
        <w:t xml:space="preserve">9190 Näringsfattig ekskog </w:t>
      </w:r>
      <w:r>
        <w:t>(SLU Artdatabanken, 2025).</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mörk husmossa (S, T), ekbräken (T), hultbräken (T), linnea (T), majbräken (T), skogsstjärna (T), stjärtmes (T, §4)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