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34265-2025 i Lindesbergs kommun</w:t>
      </w:r>
    </w:p>
    <w:p>
      <w:r>
        <w:t>Detta dokument behandlar höga naturvärden i avverkningsanmälan A 34265-2025 i Lindesbergs kommun. Denna avverkningsanmälan inkom 2025-07-07 18:07:05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brödtaggsvamp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5585"/>
            <wp:docPr id="1" name="Picture 1"/>
            <wp:cNvGraphicFramePr>
              <a:graphicFrameLocks noChangeAspect="1"/>
            </wp:cNvGraphicFramePr>
            <a:graphic>
              <a:graphicData uri="http://schemas.openxmlformats.org/drawingml/2006/picture">
                <pic:pic>
                  <pic:nvPicPr>
                    <pic:cNvPr id="0" name="A 34265-2025 karta.png"/>
                    <pic:cNvPicPr/>
                  </pic:nvPicPr>
                  <pic:blipFill>
                    <a:blip r:embed="rId16"/>
                    <a:stretch>
                      <a:fillRect/>
                    </a:stretch>
                  </pic:blipFill>
                  <pic:spPr>
                    <a:xfrm>
                      <a:off x="0" y="0"/>
                      <a:ext cx="5486400" cy="3395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6624630, E 521896 i SWEREF 99 TM.</w:t>
      </w:r>
    </w:p>
    <w:p>
      <w:r>
        <w:rPr>
          <w:b/>
        </w:rPr>
        <w:t xml:space="preserve">Brödtaggsvamp (VU) </w:t>
      </w:r>
      <w:r>
        <w:t>är en sällsynt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missgynnas av skogsbruk och hotas av slutavverkning eftersom den huvudsakligen växer i äldre barrskogar. Brödtaggsvamp är globalt rödlistad som nära hotad (NT) vilket innebär att Sverige har ett internationellt ansvar för arten (IUCN, 2025;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