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49419-2019 i Lindesbergs kommun</w:t>
      </w:r>
    </w:p>
    <w:p>
      <w:r>
        <w:t>Detta dokument behandlar höga naturvärden i avverkningsanmälan A 49419-2019 i Lindesbergs kommun. Denna avverkningsanmälan inkom 2019-09-24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asknätfjäril (EN, §4a) och sotnätfjäril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4292"/>
            <wp:docPr id="1" name="Picture 1"/>
            <wp:cNvGraphicFramePr>
              <a:graphicFrameLocks noChangeAspect="1"/>
            </wp:cNvGraphicFramePr>
            <a:graphic>
              <a:graphicData uri="http://schemas.openxmlformats.org/drawingml/2006/picture">
                <pic:pic>
                  <pic:nvPicPr>
                    <pic:cNvPr id="0" name="A 49419-2019 karta.png"/>
                    <pic:cNvPicPr/>
                  </pic:nvPicPr>
                  <pic:blipFill>
                    <a:blip r:embed="rId16"/>
                    <a:stretch>
                      <a:fillRect/>
                    </a:stretch>
                  </pic:blipFill>
                  <pic:spPr>
                    <a:xfrm>
                      <a:off x="0" y="0"/>
                      <a:ext cx="5486400" cy="3544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6605448, E 506717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