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53665-2024 i Lindesbergs kommun</w:t>
      </w:r>
    </w:p>
    <w:p>
      <w:r>
        <w:t>Detta dokument behandlar höga naturvärden i avverkningsanmälan A 53665-2024 i Lindesbergs kommun. Denna avverkningsanmälan inkom 2024-11-19 00:00:00 och omfattar 11,1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40 naturvårdsarter hittats: skogsalm (CR), ask (EN), stubbdaggkåpa (VU), violgubbe (VU), björktrast (NT, §4), blek fingersvamp (NT), entita (NT, §4), grönsångare (NT, §4), gullmurkling (NT), gultoppig fingersvamp (NT), spillkråka (NT, §4), talltita (NT, §4), trollfibbla (NT), ullticka (NT), grön sköldmossa (S, §8), gulnande spindling (S), mörk husmossa (S), olivspindling (S), rödgul trumpetsvamp (S), skogshakmossa (S), skogsknipprot (S, §8), stubbspretmossa (S), svart trolldruva (S), svavelriska (S), tibast (S), trind spretmossa (S), trubbfjädermossa (S), tvåblad (S, §8), underviol (S), västlig hakmossa (S), vätteros (S), vårärt (S), gröngöling (§4), grönsiska (§4), järnsparv (§4), kungsfågel (§4), sångsvan (§4), fläcknycklar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381728"/>
            <wp:docPr id="1" name="Picture 1"/>
            <wp:cNvGraphicFramePr>
              <a:graphicFrameLocks noChangeAspect="1"/>
            </wp:cNvGraphicFramePr>
            <a:graphic>
              <a:graphicData uri="http://schemas.openxmlformats.org/drawingml/2006/picture">
                <pic:pic>
                  <pic:nvPicPr>
                    <pic:cNvPr id="0" name="A 53665-2024 karta.png"/>
                    <pic:cNvPicPr/>
                  </pic:nvPicPr>
                  <pic:blipFill>
                    <a:blip r:embed="rId16"/>
                    <a:stretch>
                      <a:fillRect/>
                    </a:stretch>
                  </pic:blipFill>
                  <pic:spPr>
                    <a:xfrm>
                      <a:off x="0" y="0"/>
                      <a:ext cx="5486400" cy="438172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6611184, E 504026 i SWEREF 99 TM.</w:t>
      </w:r>
    </w:p>
    <w:p>
      <w:r>
        <w:rPr>
          <w:b/>
        </w:rPr>
        <w:t xml:space="preserve">Blek fingersvamp (NT) </w:t>
      </w:r>
      <w:r>
        <w:t>bildar mykorrhiza med dels gran i ängsgranskog men även under bok, ek och avenbok i ädellövskog. Arten är känslig för olika skogsbruksåtgärder och därför på tillbakagång såväl i Sverige som i andra europeiska länder. Arten hotas främst av slutavverkning och andra skogsbruksåtgärder. Arten tål inte en slutavverkning och sannolikt inte heller en kraftig gallring. Skogsområden med arten bör undantas från storskaligt skogsbruk. Slutavverkning, kraftig gallring och skogsgödsling måste helt undvikas, liksom körning med tunga maskiner (SLU Artdatabanken, 2024; Nitare &amp; Skogsstyrelsen, 2019).</w:t>
      </w:r>
    </w:p>
    <w:p>
      <w:r>
        <w:rPr>
          <w:b/>
        </w:rPr>
        <w:t>Gullmurkling (NT)</w:t>
      </w:r>
      <w:r>
        <w:t xml:space="preserve"> är placerad högst upp i Skogsstyrelsens värdepyramid för bedömning av skog med höga naturvärden och är överallt en mycket bra signalart som visar på skyddsvärda granskogar och skogsbäckar. Kända växtplatser bör inte kalavverkas eller markberedas och tunga, terränggående maskiner bör inte användas (SLU Artdatabanken, 2024; Nitare &amp; Skogsstyrelsen, 2019).</w:t>
      </w:r>
    </w:p>
    <w:p>
      <w:r>
        <w:rPr>
          <w:b/>
        </w:rPr>
        <w:t>Gulnande spindling</w:t>
      </w:r>
      <w:r>
        <w:t xml:space="preserve"> signalerar gammal hedekskog och hedbokskog med höga naturvärden i sydvästra Sverige. Arten har en starkt begränsad utbredning som gör att den främst är användbar som signalart i nordvästra Götaland. Den signalerar här också höga naturvärden i äldre naturlig granskog som ligger inom ett smalt bälte i anslutning till granens spontana västgräns. Arten är knuten till humida löv- och barrskogar vilka troligen har lång trädkontinuitet och den tål inte slutavverkning (Nitare &amp; Skogsstyrelsen, 2019).</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Olivspindling</w:t>
      </w:r>
      <w:r>
        <w:t xml:space="preserve"> växer uteslutande på näringsrik och kalkhaltig skogsmark där den huvudsakligen bildar mykorrhiza med gran och tall. Svampen är en typisk representant för kalkgranskogens särpräglade och rika svampflora. Kalavverkning är ett hot mot arten, eftersom den sannolikt kräver lång kontinuitet av äldre träd. Populationerna i landet bedöms därför minska beroende på slutavverkning av äldre barrskog på kalkhaltig mark (SLU Artdatabanken, 2024; Nitare &amp; Skogsstyrelsen, 2019).</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 xml:space="preserve">Trind spretmossa </w:t>
      </w:r>
      <w:r>
        <w:t>kräver ett konstant fuktigt mikroklimat och påträffas ofta i skogsbiotoper med höga naturvärden, till exempel i skuggiga raviner och kanjondalar med välutvecklade mossmattor. Rika förekomster av trind spretmossa indikerar miljöer med lång kontinuitet av hög luftfuktighet, och därmed ofta höga naturvärden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Underviol </w:t>
      </w:r>
      <w:r>
        <w:t>är en bra signalart i hela sitt utbredningsområde i såväl lövlundar som kalkbarrskogar. Arten är särskilt intressant när den förekommer i barrskog och indikerar då troligen relikta och hotade kalkbarrskogsekosystem. Underviol tål inte dagens storskaliga skogsbruksmetoder även om den vid enstaka tillfällen lyckas kvarstå i fuktdråg efter avverkning (Nitare &amp; Skogsstyrelsen, 2019).</w:t>
      </w:r>
    </w:p>
    <w:p>
      <w:r>
        <w:rPr>
          <w:b/>
        </w:rPr>
        <w:t>Violgubbe (VU)</w:t>
      </w:r>
      <w:r>
        <w:t xml:space="preserve"> bildar mykorrhiza med gran och bok och ev. andra trädslag i ängsgran- och ängsbokskog på kalkrik mark. Arten är placerad högst upp i Skogsstyrelsens värdepyramid för bedömning av skog med höga naturvärden och indikerar alltid skogsområden med höga naturvärden. Det största hotet mot arten är skogsavverkning och den omfattas av ett åtgärdsprogram för hotade arter (ÅGP). Violgubben överlever inte en slutavverkning och verkar dessutom ha svårt att etablera sig i yngre skogsbestånd (SLU Artdatabanken, 2024; Nitare &amp; Skogsstyrelsen, 2019; Aronsson, 2006).</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björktrast (NT, §4), entita (NT, §4), grönsångare (NT, §4), spillkråka (NT, §4), talltita (NT, §4), grön sköldmossa (S, §8), skogsknipprot (S, §8), tvåblad (S, §8), gröngöling (§4), grönsiska (§4), järnsparv (§4), kungsfågel (§4), sångsvan (§4), fläcknycklar (§8), blåsippa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32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40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