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53665-2024 i Lindesbergs kommun</w:t>
      </w:r>
    </w:p>
    <w:p>
      <w:r>
        <w:t>Detta dokument behandlar höga naturvärden i avverkningsanmälan A 53665-2024 i Lindesbergs kommun. Denna avverkningsanmälan inkom 2024-11-19 00:00:00 och omfattar 11,1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40 naturvårdsarter hittats: skogsalm (CR), ask (EN), stubbdaggkåpa (VU), violgubbe (VU), björktrast (NT, §4), blek fingersvamp (NT), entita (NT, §4), grönsångare (NT, §4), gullmurkling (NT), gultoppig fingersvamp (NT), spillkråka (NT, §4), talltita (NT, §4), trollfibbla (NT), ullticka (NT), grön sköldmossa (S, §8), gulnande spindling (S), mörk husmossa (S), olivspindling (S), rödgul trumpetsvamp (S), skogshakmossa (S), skogsknipprot (S, §8), stubbspretmossa (S), svart trolldruva (S), svavelriska (S), tibast (S), trind spretmossa (S), trubbfjädermossa (S), tvåblad (S, §8), underviol (S), västlig hakmossa (S), vätteros (S), vårärt (S), gröngöling (§4), grönsiska (§4), järnsparv (§4), kungsfågel (§4), sångsvan (§4), fläcknycklar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1728"/>
            <wp:docPr id="1" name="Picture 1"/>
            <wp:cNvGraphicFramePr>
              <a:graphicFrameLocks noChangeAspect="1"/>
            </wp:cNvGraphicFramePr>
            <a:graphic>
              <a:graphicData uri="http://schemas.openxmlformats.org/drawingml/2006/picture">
                <pic:pic>
                  <pic:nvPicPr>
                    <pic:cNvPr id="0" name="A 53665-2024 karta.png"/>
                    <pic:cNvPicPr/>
                  </pic:nvPicPr>
                  <pic:blipFill>
                    <a:blip r:embed="rId16"/>
                    <a:stretch>
                      <a:fillRect/>
                    </a:stretch>
                  </pic:blipFill>
                  <pic:spPr>
                    <a:xfrm>
                      <a:off x="0" y="0"/>
                      <a:ext cx="5486400" cy="43817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6611184, E 504026 i SWEREF 99 TM.</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Gullmurkling (NT)</w:t>
      </w:r>
      <w:r>
        <w:t xml:space="preserve"> är placerad högst upp i Skogsstyrelsens värdepyramid för bedömning av skog med höga naturvärden och är överallt en mycket bra signalart som visar på skyddsvärda granskogar och skogsbäckar. Kända växtplatser bör inte kalavverkas eller markberedas och tunga, terränggående maskiner bör inte användas (SLU Artdatabanken, 2024; Nitare &amp; Skogsstyrelsen, 2019).</w:t>
      </w:r>
    </w:p>
    <w:p>
      <w:r>
        <w:rPr>
          <w:b/>
        </w:rPr>
        <w:t>Gulnande spindling</w:t>
      </w:r>
      <w:r>
        <w:t xml:space="preserve"> signalerar gammal hedekskog och hedbokskog med höga naturvärden i sydvästra Sverige. Arten har en starkt begränsad utbredning som gör att den främst är användbar som signalart i nordvästra Götaland. Den signalerar här också höga naturvärden i äldre naturlig granskog som ligger inom ett smalt bälte i anslutning till granens spontana västgräns. Arten är knuten till humida löv- och barrskogar vilka troligen har lång trädkontinuitet och den tål inte slutavverkning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björktrast (NT, §4), entita (NT, §4), grönsångare (NT, §4), spillkråka (NT, §4), talltita (NT, §4), grön sköldmossa (S, §8), skogsknipprot (S, §8), tvåblad (S, §8), gröngöling (§4), grönsiska (§4), järnsparv (§4), kungsfågel (§4), sångsvan (§4), fläcknycklar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