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58939-2023 i Lindesbergs kommun</w:t>
      </w:r>
    </w:p>
    <w:p>
      <w:r>
        <w:t>Detta dokument behandlar höga naturvärden i avverkningsanmälan A 58939-2023 i Lindesbergs kommun. Denna avverkningsanmälan inkom 2023-11-22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skogsalm (CR), ask (EN), asknätfjäril (EN, §4a), violgubbe (VU), grantaggsvamp (NT), gultoppig fingersvamp (NT), skogsklocka (NT), sotnätfjäril (NT), svinrot (NT), grov husmossa (S), skogsknipprot (S, §8), svavelriska (S), tibast (S), tvåblad (S, §8)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58939-2023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6611888, E 504757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Grov husmossa </w:t>
      </w:r>
      <w:r>
        <w:t>indikerar fuktiga och mineralrika skogsmiljöer som är mycket artrika, till exempel kalkbarrskogar och näringsrika skogar längs vattendrag. Mossan förekommer ofta tillsammans med många ovanliga och rödlistade arter. I skogslandet signalerar den överallt biotoper med höga naturvärden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asknätfjäril (EN, §4a), skogsknipprot (S, §8),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