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42636-2025 i Lindesbergs kommun</w:t>
      </w:r>
    </w:p>
    <w:p>
      <w:r>
        <w:t>Detta klagomål behandlar höga naturvärden i avverkningsanmälan A 42636-2025 i Lindesbergs kommun som inkom 2025-09-05 och omfattar 1,9 ha.</w:t>
      </w:r>
    </w:p>
    <w:p>
      <w:pPr>
        <w:pStyle w:val="Caption"/>
      </w:pPr>
      <w:r>
        <w:drawing>
          <wp:inline xmlns:a="http://schemas.openxmlformats.org/drawingml/2006/main" xmlns:pic="http://schemas.openxmlformats.org/drawingml/2006/picture">
            <wp:extent cx="5486400" cy="5120405"/>
            <wp:docPr id="1" name="Picture 1"/>
            <wp:cNvGraphicFramePr>
              <a:graphicFrameLocks noChangeAspect="1"/>
            </wp:cNvGraphicFramePr>
            <a:graphic>
              <a:graphicData uri="http://schemas.openxmlformats.org/drawingml/2006/picture">
                <pic:pic>
                  <pic:nvPicPr>
                    <pic:cNvPr id="0" name="A 42636-2025 karta.png"/>
                    <pic:cNvPicPr/>
                  </pic:nvPicPr>
                  <pic:blipFill>
                    <a:blip r:embed="rId16"/>
                    <a:stretch>
                      <a:fillRect/>
                    </a:stretch>
                  </pic:blipFill>
                  <pic:spPr>
                    <a:xfrm>
                      <a:off x="0" y="0"/>
                      <a:ext cx="5486400" cy="5120405"/>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6619604, E 523258 i SWEREF 99 TM.</w:t>
      </w:r>
    </w:p>
    <w:p>
      <w:r>
        <w:t>I och inom 23 meter från avverkningsanmälan finns fynd av 11 naturvårdsarter, varav 8 är rödlistade, 2 är fridlysta, 8 är typiska (T) och 1 är signalart (S): brödtaggsvamp (EN), dvärgbägarlav (NT, T), gransotdyna (NT), motaggsvamp (NT, T), tallticka (NT, T), ullticka (NT, T), vedskivlav (NT, T), violmussling (NT, T), vedticka (S, T), järpe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Brödtaggsvamp (EN) </w:t>
      </w:r>
      <w:r>
        <w:t>är en sällsynt och starkt hotad ”toppart” som växer i äldre barrskogar med gran, gärna i fuktiga sänkor eller skogar med hög luftfuktighet.  Svampen har en säregen doft som liknats vid lakrits, kakor eller pomerans. Den ingår i ett åtgärdsprogram för hotade arter (ÅGP) och är placerad högst upp i Skogsstyrelsens värdepyramid för bedömning av skog med höga naturvärden. Arten tål inte en slutavverkning utan kräver ett kontinuerligt äldre trädskikt med gran. Äldre barrskogar med basisk påverkan och lång kontinuitet, även små områden, har ett mycket högt skyddsvärde och bör i största möjliga utsträckning undantas från trakthyggesbruk. Slutavverkning, kraftig gallring och skogsmarksgödsling måste helt undvikas, liksom körning med tunga maskiner. Lokalerna bör bevakas, följas upp och skyddas formellt. Brödtaggsvamp är globalt rödlistad som nära hotad (NT) vilket innebär att Sverige har ett internationellt ansvar för arten (IUCN, 2025;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0.09 ha med buffertzonerna och får av detta skäl inte avverkas.</w:t>
      </w:r>
    </w:p>
    <w:p>
      <w:pPr>
        <w:pStyle w:val="Caption"/>
      </w:pPr>
      <w:r>
        <w:drawing>
          <wp:inline xmlns:a="http://schemas.openxmlformats.org/drawingml/2006/main" xmlns:pic="http://schemas.openxmlformats.org/drawingml/2006/picture">
            <wp:extent cx="5486400" cy="6422134"/>
            <wp:docPr id="2" name="Picture 2"/>
            <wp:cNvGraphicFramePr>
              <a:graphicFrameLocks noChangeAspect="1"/>
            </wp:cNvGraphicFramePr>
            <a:graphic>
              <a:graphicData uri="http://schemas.openxmlformats.org/drawingml/2006/picture">
                <pic:pic>
                  <pic:nvPicPr>
                    <pic:cNvPr id="0" name="A 42636-2025 karta knärot.png"/>
                    <pic:cNvPicPr/>
                  </pic:nvPicPr>
                  <pic:blipFill>
                    <a:blip r:embed="rId17"/>
                    <a:stretch>
                      <a:fillRect/>
                    </a:stretch>
                  </pic:blipFill>
                  <pic:spPr>
                    <a:xfrm>
                      <a:off x="0" y="0"/>
                      <a:ext cx="5486400" cy="642213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6619604, E 523258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Gransotdyna (NT)</w:t>
      </w:r>
      <w:r>
        <w:t xml:space="preserve"> är en nedbrytare på grova, murkna, ofta barklösa stubbar och liggande stammar av gran, sällan även av bok. Den kräver tillgång till lågor och stubbar i frisk till fuktig miljö och är helt bunden till skogsbestånd med hög bonitet. Gransotdyna hotas av det intensiva utnyttjandet av granskogar med hög bonitet. Arten förekommer främst i de sydliga delarna av landet där bristen på äldre skog är mest påtaglig. Alla lokaler för arten måste undantas från rationellt skogsbruk och tillgången på död ved av grova dimensioner måste säkerställas. Fler områden med äldre granskog måste skyddas i södra Sverige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gul mjukporing (CR), lämmelporing (CR), kilporing (VU), parasitporing (VU), gropig brunbagge (NT), gulbandad brunbagge</w:t>
      </w:r>
      <w:r>
        <w:rPr>
          <w:i/>
        </w:rPr>
        <w:t xml:space="preserve"> </w:t>
      </w:r>
      <w:r>
        <w:t>(NT) och brunkantad brunbagge</w:t>
      </w:r>
      <w:r>
        <w:rPr>
          <w:i/>
        </w:rPr>
        <w:t xml:space="preserve"> </w:t>
      </w:r>
      <w:r>
        <w:t xml:space="preserve">(DD). Violmussling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