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58939-2023 i Lindesbergs kommun</w:t>
      </w:r>
    </w:p>
    <w:p>
      <w:r>
        <w:t>Denna tillsynsbegäran behandlar höga naturvärden i avverkningsanmälan A 58939-2023 i Lindesbergs kommun som inkom 2023-11-22 och omfattar 4,7 ha.</w:t>
      </w:r>
    </w:p>
    <w:p>
      <w:pPr>
        <w:pStyle w:val="Caption"/>
      </w:pPr>
      <w:r>
        <w:drawing>
          <wp:inline xmlns:a="http://schemas.openxmlformats.org/drawingml/2006/main" xmlns:pic="http://schemas.openxmlformats.org/drawingml/2006/picture">
            <wp:extent cx="5486400" cy="4982966"/>
            <wp:docPr id="1" name="Picture 1"/>
            <wp:cNvGraphicFramePr>
              <a:graphicFrameLocks noChangeAspect="1"/>
            </wp:cNvGraphicFramePr>
            <a:graphic>
              <a:graphicData uri="http://schemas.openxmlformats.org/drawingml/2006/picture">
                <pic:pic>
                  <pic:nvPicPr>
                    <pic:cNvPr id="0" name="A 58939-2023 karta.png"/>
                    <pic:cNvPicPr/>
                  </pic:nvPicPr>
                  <pic:blipFill>
                    <a:blip r:embed="rId16"/>
                    <a:stretch>
                      <a:fillRect/>
                    </a:stretch>
                  </pic:blipFill>
                  <pic:spPr>
                    <a:xfrm>
                      <a:off x="0" y="0"/>
                      <a:ext cx="5486400" cy="498296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6611888, E 504757 i SWEREF 99 TM.</w:t>
      </w:r>
    </w:p>
    <w:p>
      <w:r>
        <w:t>I och inom 25 meter från avverkningsanmälan finns fynd av 16 naturvårdsarter, varav 9 är rödlistade, 5 är fridlysta, 3 är typiska (T) och 5 är signalarter (S): ask (EN), asknätfjäril (EN, §4a), skogsalm (EN), violgubbe (EN), grantaggsvamp (NT), gultoppig fingersvamp (NT), skogsklocka (NT), sotnätfjäril (NT), svinrot (NT), grov husmossa (S), skogsknipprot (S, T, §8), svavelriska (S), tibast (S, T), tvåblad (S, §8), blåsippa (T, §9)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Asknätfjäril (EN, §4a)</w:t>
      </w:r>
      <w:r>
        <w:t xml:space="preserve"> är en fridlyst och starkt hotad åtgärdsprogramsart som omfattas av bilaga 2 och 4 EU:s art- och habitatdirektiv vilket innebär att fjärilen och dess livsmiljöer är strikt skyddade samt att Natura 2000-områden ska inrättas. Habitatdirektivets bevarandestatus är dåligt med negativ trend. Asknätfjärilens kraftiga tillbakagång sammanfaller med 1950–60-talens mycket omfattande nedläggningar av mindre lantbruk i skogsbygder och ett mer intensivt och storskaligt skogsbruk. Arten hotas främst av skogsdikning och skyddsdikning som omintetgör nödvändig markfuktighet under torrare somrar. Arten är uttorkningskänslig i alla utvecklingsstadier och det är mycket viktigt att bäckar och översilningsmarker lämnas orörda vid skogsbruk. Asknätfjärilens larver livnär sig på blad av ask och olvon och den är rödlistad som sårbar (VU) på den europeiska rödlistan samt globalt rödlistad som DD (Data Deficient) vilket innebär att Sverige har ett internationellt ansvar för arten (SLU Artdatabanken, 2026; IUCN, 2023; Eliasson, 2008).</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Gultoppig fingersvamp (NT)</w:t>
      </w:r>
      <w:r>
        <w:t xml:space="preserve"> bildar mykorrhiza med gran i örtrik äldre barrskog. Den är något kalkgynnad och föredrar bördiga granskogar av lågörtstyp. Svampen hotas främst av skogsavverkning och tycks försvinna efter slutavverkning, markberedning och plantering. Skogsområden med arten bör undantas från storskaligt skogsbruk. Slutavverkning, kraftig gallring och skogsgödsling måste undvikas, liksom körning med tunga maskiner (SLU Artdatabanken, 2024).</w:t>
      </w:r>
    </w:p>
    <w:p>
      <w:r>
        <w:rPr>
          <w:b/>
        </w:rPr>
        <w:t xml:space="preserve">Grov husmossa </w:t>
      </w:r>
      <w:r>
        <w:t>indikerar fuktiga och mineralrika skogsmiljöer som är mycket artrika, till exempel kalkbarrskogar och näringsrika skogar längs vattendrag. Mossan förekommer ofta tillsammans med många ovanliga och rödlistade arter. I skogslandet signalerar den överallt biotoper med höga naturvärden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