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8178-2026 i Lindesbergs kommun</w:t>
      </w:r>
    </w:p>
    <w:p>
      <w:r>
        <w:t>Denna tillsynsbegäran behandlar höga naturvärden i avverkningsanmälan A 8178-2026 i Lindesbergs kommun som inkom 2026-02-11 och omfattar 2,4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8178-2026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6612466, E 504349 i SWEREF 99 TM.</w:t>
      </w:r>
    </w:p>
    <w:p>
      <w:r>
        <w:t>I och inom 25 meter från avverkningsanmälan finns fynd av 17 naturvårdsarter, varav 5 är rödlistade, 8 är fridlysta, 9 är typiska (T) och 5 är signalarter (S): violgubbe (EN), gul taggsvamp (VU, T), entita (NT, T, §4), grönsångare (NT, §4), järnsparv (NT, §4), stubbspretmossa (S, T), thomsons trägnagare (S), tvåblad (S, §8), underviol (S, T), vätteros (S, T), blåsippa (T, §9), bäckbräsma (T), kransmossa (T), ormbär (T), kungsfågel (§4), svartvit flugsnappare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entita (NT, T, §4), stubbspretmossa (S, T), underviol (S, T), vätteros (S, T), blåsippa (T, §9), bäckbräsma (T), kransmossa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