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61132-2024 i Lindesbergs kommun</w:t>
      </w:r>
    </w:p>
    <w:p>
      <w:r>
        <w:t>Denna tillsynsbegäran behandlar höga naturvärden i avverkningsanmälan A 61132-2024 i Lindesbergs kommun som inkom 2024-12-19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054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13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05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6624063, E 496485 i SWEREF 99 TM.</w:t>
      </w:r>
    </w:p>
    <w:p>
      <w:r>
        <w:t>I avverkningsanmälan finns fynd av 1 naturvårdsarter, varav 1 är typisk (T) och 1 är signalart (S): bollvitmossa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Bollvitmossa </w:t>
      </w:r>
      <w:r>
        <w:t xml:space="preserve">är en bra signalart inom hela sitt utbredningsområde. Vanligast är den i naturvårdsintressanta tallsumpskogar. Även gransumpskogar med bollvitmossa har normalt höga naturvärden. Arten indikerar skogsmark med stabila hydrologiska förhållanden och sannolikt även lång skoglig kontinuitet. Bollvitmossa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 xml:space="preserve">9740 Skogsbevuxen myr </w:t>
      </w:r>
      <w:r>
        <w:t>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