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skogsalm (CR), ask (EN), stubbdaggkåpa (VU), violgubbe (VU), björktrast (NT, §4), blek fingersvamp (NT), entita (NT, §4), grönsångare (NT, §4), gullmurkling (NT), gultoppig fingersvamp (NT), spillkråka (NT, §4), talltita (NT, §4), trollfibbla (NT), ullticka (NT), grön sköldmossa (S, §8), gulnande spindling (S), mörk husmossa (S), olivspindling (S), rödgul trumpetsvamp (S), skogshakmossa (S), skogsknipprot (S, §8), stubbspretmossa (S), svart trolldruva (S), svavelriska (S), tibast (S), trind spretmossa (S), trubbfjädermossa (S), tvåblad (S, §8), underviol (S), västlig hakmossa (S), vätteros (S), vårärt (S), gröngöling (§4), grönsiska (§4), järnsparv (§4), kungsfågel (§4), sångsvan (§4), fläcknycklar (§8),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björktrast (NT, §4), entita (NT, §4), grönsångare (NT, §4), spillkråka (NT, §4), talltita (NT, §4), grön sköldmossa (S, §8), skogsknipprot (S, §8), tvåblad (S, §8), gröngöling (§4), grönsiska (§4), järnsparv (§4), kungsfågel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