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21845-2026 i Skinnskattebergs kommun</w:t>
      </w:r>
    </w:p>
    <w:p>
      <w:r>
        <w:t>Denna tillsynsbegäran behandlar höga naturvärden i avverkningsanmälan A 21845-2026 i Skinnskattebergs kommun som inkom 2026-05-08 och omfattar 2,2 ha.</w:t>
      </w:r>
    </w:p>
    <w:p>
      <w:pPr>
        <w:pStyle w:val="Caption"/>
      </w:pPr>
      <w:r>
        <w:drawing>
          <wp:inline xmlns:a="http://schemas.openxmlformats.org/drawingml/2006/main" xmlns:pic="http://schemas.openxmlformats.org/drawingml/2006/picture">
            <wp:extent cx="5102425" cy="5724000"/>
            <wp:docPr id="1" name="Picture 1"/>
            <wp:cNvGraphicFramePr>
              <a:graphicFrameLocks noChangeAspect="1"/>
            </wp:cNvGraphicFramePr>
            <a:graphic>
              <a:graphicData uri="http://schemas.openxmlformats.org/drawingml/2006/picture">
                <pic:pic>
                  <pic:nvPicPr>
                    <pic:cNvPr id="0" name="A 21845-2026 karta.png"/>
                    <pic:cNvPicPr/>
                  </pic:nvPicPr>
                  <pic:blipFill>
                    <a:blip r:embed="rId16"/>
                    <a:stretch>
                      <a:fillRect/>
                    </a:stretch>
                  </pic:blipFill>
                  <pic:spPr>
                    <a:xfrm>
                      <a:off x="0" y="0"/>
                      <a:ext cx="510242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6638856, E 527266 i SWEREF 99 TM.</w:t>
      </w:r>
    </w:p>
    <w:p>
      <w:r>
        <w:t>I avverkningsanmälan finns fynd av 5 naturvårdsarter, varav 2 är rödlistade, 4 är typiska (T) och 2 är signalarter (S): brunpudrad nållav (NT, T), vedtrappmossa (NT, T), gullgröppa (S), vanlig flatbagge (S, T) och timmerticka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