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och inom 25 meter från avverkningsanmälan finns fynd av 4 naturvårdsarter, varav 3 är rödlistade, 1 är fridlyst, 2 är typiska (T) och 1 är signalart (S): skrovlig taggsvamp (VU), mjölsvärting (NT),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