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Inom 25 meter från avverkningsanmälan finns fynd av 6 naturvårdsarter, varav 5 är rödlistade, 2 är typiska (T) och 1 är signalart (S):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