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482-2024 i Skinnskattebergs kommun</w:t>
      </w:r>
    </w:p>
    <w:p>
      <w:r>
        <w:t>Detta klagomål behandlar höga naturvärden i samrådsanmälan S 482-2024 i Skinnskattebergs kommun som inkom 2024-02-21 och omfattar 1232,4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S 482-2024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6635264, E 537793 i SWEREF 99 TM.</w:t>
      </w:r>
    </w:p>
    <w:p>
      <w:r>
        <w:t>I och inom 22 meter från samrådsanmälan finns fynd av 18 naturvårdsarter, varav 10 är rödlistade, 7 är fridlysta, 8 är typiska (T) och 4 är signalarter (S): blåbrun spindling (VU), gyllenspindling (VU), dofttaggsvamp (NT, T), drillsnäppa (NT, §4), orange taggsvamp (NT, T), skogshare (NT), tretåig hackspett (NT, T, §4), ullticka (NT, T), vedskivlav (NT, T), vitfläckig guldvinge (NT), grönpyrola (S, T), plattlummer (S, T, §9), strimspindling (S), zontaggsvamp (S), mattlummer (T, §9), fläcknycklar (§8),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Blåbrun spindling (VU)</w:t>
      </w:r>
      <w:r>
        <w:t xml:space="preserve"> bildar mykorrhiza med gran på näringsrik och/eller kalkrik, fuktig och örtrik mark i granskog och barrblandskog. Total population i landet bedöms ha minskat och fortlöpande minska p.g.a. slutavverkningar av äldre kontinuitetsbarrskog. På lokaler där arten finns måste kalavverkning undvikas eller bedrivas i form av plockhuggning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