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i avverkningsanmälan A 39623-2026 i Skinnskattebergs kommun</w:t>
      </w:r>
    </w:p>
    <w:p>
      <w:r>
        <w:t>Denna tillsynsbegäran behandlar höga naturvärden i avverkningsanmälan A 39623-2026 i Skinnskattebergs kommun som inkom 2026-09-24 och omfattar 4,4 ha.</w:t>
      </w:r>
    </w:p>
    <w:p>
      <w:pPr>
        <w:pStyle w:val="Caption"/>
      </w:pPr>
      <w:r>
        <w:drawing>
          <wp:inline xmlns:a="http://schemas.openxmlformats.org/drawingml/2006/main" xmlns:pic="http://schemas.openxmlformats.org/drawingml/2006/picture">
            <wp:extent cx="5486400" cy="5551260"/>
            <wp:docPr id="1" name="Picture 1"/>
            <wp:cNvGraphicFramePr>
              <a:graphicFrameLocks noChangeAspect="1"/>
            </wp:cNvGraphicFramePr>
            <a:graphic>
              <a:graphicData uri="http://schemas.openxmlformats.org/drawingml/2006/picture">
                <pic:pic>
                  <pic:nvPicPr>
                    <pic:cNvPr id="0" name="A 39623-2026 karta.png"/>
                    <pic:cNvPicPr/>
                  </pic:nvPicPr>
                  <pic:blipFill>
                    <a:blip r:embed="rId16"/>
                    <a:stretch>
                      <a:fillRect/>
                    </a:stretch>
                  </pic:blipFill>
                  <pic:spPr>
                    <a:xfrm>
                      <a:off x="0" y="0"/>
                      <a:ext cx="5486400" cy="5551260"/>
                    </a:xfrm>
                    <a:prstGeom prst="rect"/>
                  </pic:spPr>
                </pic:pic>
              </a:graphicData>
            </a:graphic>
          </wp:inline>
        </w:drawing>
      </w:r>
    </w:p>
    <w:p>
      <w:pPr>
        <w:pStyle w:val="Caption"/>
        <w:spacing w:after="240"/>
      </w:pPr>
      <w:r>
        <w:t>Figur 1. Fyndplatser för naturvårdsarter i och inom 25 meter från avverkningsanmälan. Markörer utan svart kant är placerade på fyndplatsen. Markörer med svart kant är placerade vid sidan av fyndplatsen och har ett svart streck som visar fyndplatsens exakta position. Kartans mittpunktskoordinat är N 6629468, E 528009 i SWEREF 99 TM.</w:t>
      </w:r>
    </w:p>
    <w:p>
      <w:r>
        <w:t>I och inom 25 meter från avverkningsanmälan finns fynd av 7 naturvårdsarter, varav 6 är rödlistade, 3 är typiska (T) och 1 är signalart (S): raggbock (VU, T), skrovlig taggsvamp (VU), motaggsvamp (NT, T), orange taggsvamp (NT, T), skarp dropptaggsvamp (NT), svartvit taggsvamp (NT) och zontaggsvamp (S).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r>
        <w:rPr>
          <w:b/>
        </w:rPr>
        <w:t>Raggbock (VU)</w:t>
      </w:r>
      <w:r>
        <w:t xml:space="preserve"> är en brandgynnad skalbagge vars larvutveckling sker i äldre, liggande, solexponerade stammar av tall, mer sällan gran. Raggbock ingår i ett åtgärdsprogram för hotade arter (ÅGP) och den är rödlistad som nära hotad (NT) i den europeiska rödlistan. Raggbock är typisk art för </w:t>
      </w:r>
      <w:r>
        <w:rPr>
          <w:i/>
        </w:rPr>
        <w:t>9010 Taiga</w:t>
      </w:r>
      <w:r>
        <w:t xml:space="preserve"> och</w:t>
      </w:r>
      <w:r>
        <w:rPr>
          <w:i/>
        </w:rPr>
        <w:t xml:space="preserve"> 9060 Åsbarrskog</w:t>
      </w:r>
      <w:r>
        <w:t xml:space="preserve"> (SLU Artdatabanken, 2024; Wikars, 2014; IUCN, 2010).</w:t>
      </w:r>
    </w:p>
    <w:p>
      <w:r>
        <w:rPr>
          <w:b/>
        </w:rPr>
        <w:t xml:space="preserve">Skrovlig taggsvamp (VU) </w:t>
      </w:r>
      <w:r>
        <w:t>bildar mykorrhiza med tall i äldre tallskog, framför allt på tallhed. Den växer huvudsakligen i äldre barrskog som hotas av slutavverkning. Genom att äldre barrskogar och naturskogar blir allt sällsyntare, missgynnas arten av skogsbruk. Arten ingår i ett åtgärdsprogram för hotade arter (ÅGP) och en långsiktig tillgång till svampens värdträd behöver säkras genom att växtplatserna undantas från avverkning. Skrovlig taggsvamp är globalt rödlistad som nära hotad (NT) vilket innebär att Sverige har ett internationellt ansvar för arten (IUCN, 2025; SLU Artdatabanken, 2026; Nitare, 2006).</w:t>
      </w:r>
    </w:p>
    <w:p>
      <w:r>
        <w:rPr>
          <w:b/>
        </w:rPr>
        <w:t xml:space="preserve">Motaggsvamp (NT) </w:t>
      </w:r>
      <w:r>
        <w:t xml:space="preserve">bildar mykorrhiza med tall i tallskog och hittas huvudsakligen i äldre, glesare skogsbestånd och hällmarksimpediment. Arten hotas främst av skogsavverkning och tycks försvinna efter slutavverkning, markberedning och plantering. Motaggsvamp är typisk art för </w:t>
      </w:r>
      <w:r>
        <w:rPr>
          <w:i/>
        </w:rPr>
        <w:t>9010 Taiga</w:t>
      </w:r>
      <w:r>
        <w:t xml:space="preserve"> (SLU Artdatabanken, 2024).</w:t>
      </w:r>
    </w:p>
    <w:p>
      <w:r>
        <w:rPr>
          <w:b/>
        </w:rPr>
        <w:t xml:space="preserve">Orange taggsvamp (NT) </w:t>
      </w:r>
      <w:r>
        <w:t xml:space="preserve">bildar mykorrhiza med både gran och tall och den förekommer främst i äldre barrskogar med kontinuitetsskogskaraktär. Mest frekvent är den i äldre mossrik granskog, men då bara i skogar inom granens naturliga utbredningsområde och i bestånd med långvarig grankontinuitet. Den totala populationen i landet bedöms ha minskat kraftigt och fortsatt kommer att minska då arten är knuten till en produktiv skogsmiljö som successivt avverkas. Arten hotas främst av skogsavverkning och tycks försvinna efter slutavverkning, markberedning och plantering och det är inte känt att arten har återkommit i anlagd skog på tidigare kalmark. Orange taggsvamp är typisk art för </w:t>
      </w:r>
      <w:r>
        <w:rPr>
          <w:i/>
        </w:rPr>
        <w:t>9010 Taiga</w:t>
      </w:r>
      <w:r>
        <w:t xml:space="preserve"> (SLU Artdatabanken, 2024).</w:t>
      </w:r>
    </w:p>
    <w:p>
      <w:r>
        <w:rPr>
          <w:b/>
        </w:rPr>
        <w:t xml:space="preserve">Skarp dropptaggsvamp (NT) </w:t>
      </w:r>
      <w:r>
        <w:t>bildar mykorrhiza med både gran och tall, främst i barrskogar med trädkontinuitet. Arten uppträder dels i näringsrik kalkbarrskog och dels i sur lavtallskog. Kalkbarrskogarna är ofta grandominerade, olikåldriga och skiktade på frisk mark med ett örtrikt vegetationsskikt. Lavtallskogarna är i regel magra, torra, ljusöppna och ofta brandpräglade. Den totala populationen i landet har minskat och bedöms fortsätta minska till följd av avverkning av äldre barrskogar. Arten har begränsad förmåga att återetablera sig efter slutavverkning eller andra storskaliga skogsbruksåtgärder. Det saknas indikationer på att arten långsiktigt kan etablera eller reproducera sig i skogsbestånd som brukas med metoder som trakthyggesbruk, markberedning, gödsling eller föryngring med förädlat plantmaterial. Minskningstakten för den svenska populationen bedöms vara nära gränsvärdet för Sårbar (VU) (SLU Artdatabanken, 2026).</w:t>
      </w:r>
    </w:p>
    <w:p>
      <w:r>
        <w:rPr>
          <w:b/>
        </w:rPr>
        <w:t xml:space="preserve">Svartvit taggsvamp (NT) </w:t>
      </w:r>
      <w:r>
        <w:t>bildar mykorrhiza med tall, troligen även med gran. Den växer huvudsakligen i äldre, naturligt uppkommen skog på torr eller frisk mark och förekommer såväl på tallhedar som i mossig barrblandskog. Flera olika former har påträffats vid DNA-undersökningar av europeiskt material och det är oklart hur många former som finns i värd land. Kalavverkning av äldre skog är ett reellt hot, liksom maskinell markberedning och minskad andel självföryngring. Lokaler som fortfarande håller svampen behöver säkerställas (SLU Artdatabanken, 2024; Nitare &amp; Skogsstyrelsen, 2019).</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2026-10-12</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