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12887-2024 i Skinnskattebergs kommun</w:t>
      </w:r>
    </w:p>
    <w:p>
      <w:r>
        <w:t>Denna tillsynsbegäran behandlar höga naturvärden i avverkningsanmälan A 12887-2024 i Skinnskattebergs kommun som inkom 2024-04-03 och omfattar 6,5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5722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88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572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6625382, E 538058 i SWEREF 99 TM.</w:t>
      </w:r>
    </w:p>
    <w:p>
      <w:r>
        <w:t>I avverkningsanmälan finns fynd av 1 naturvårdsarter, varav 1 är rödlistad och 1 är fridlyst: sparvuggla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Se även ytterligare artfakta i BILAGA 1. De påträffade naturvårdsarterna är ett tydligt kvitto på att det rör sig om en skog med höga naturvärden.</w:t>
      </w:r>
    </w:p>
    <w:p>
      <w:r>
        <w:rPr>
          <w:b/>
        </w:rPr>
        <w:t>Sparvuggla (NT, §4)</w:t>
      </w:r>
      <w:r>
        <w:t xml:space="preserve"> är fridlyst enligt 4§ artskyddsförordningen och omfattas av bilaga 1 EU:s fågeldirektiv. Den har minskat med 15 (5–25) % under de senaste 15 åren och minskningstakten för den svenska populationen bedöms vara nära gränsvärdet för Sårbar (VU).  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produktionsskogar. Särskilt avverkning av lövträdsrika kantzoner och igenplantering av gamla inägor (SLU Artdatabanken, 2026; Skogsstyrelsen, 2016).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p>
      <w:r>
        <w:br w:type="page"/>
      </w:r>
    </w:p>
    <w:p>
      <w:pPr>
        <w:pStyle w:val="Title"/>
      </w:pPr>
      <w:r>
        <w:t>BILAGA 1 – Fridlysta arter</w:t>
      </w:r>
    </w:p>
    <w:p>
      <w:pPr>
        <w:pStyle w:val="Heading1"/>
      </w:pPr>
      <w:r>
        <w:t>Sparvuggla – ekologi samt krav på livsmiljön</w:t>
      </w:r>
    </w:p>
    <w:p>
      <w:r>
        <w:t>Sparvuggla (NT, §4) är fridlyst enligt 4§ artskyddsförordningen och omfattas av bilaga 1 EU:s fågeldirektiv. Den har minskat med 15 (5–25) % under de senaste 15 åren och minskningstakten för den svenska populationen bedöms vara nära gränsvärdet för Sårbar (VU) (SLU Artdatabanken 2026).</w:t>
      </w:r>
    </w:p>
    <w:p>
      <w:r>
        <w:t>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 – särskilt avverkning av lövträdsrika kantzoner och igenplantering av gamla inägor (Skogsstyrelsen, 2016).</w:t>
      </w:r>
    </w:p>
    <w:p>
      <w:pPr>
        <w:pStyle w:val="Heading2"/>
      </w:pPr>
      <w:r>
        <w:t>Referenser – sparvuggla</w:t>
      </w:r>
    </w:p>
    <w:p>
      <w:r>
        <w:t xml:space="preserve">Skogsstyrelsen, 2016. </w:t>
      </w:r>
      <w:r>
        <w:rPr>
          <w:i/>
        </w:rPr>
        <w:t>Vägledning för hänsyn till sparvuggla.</w:t>
      </w:r>
    </w:p>
    <w:p>
      <w:r>
        <w:t xml:space="preserve">SLU Artdatabanken, 2026. </w:t>
      </w:r>
      <w:r>
        <w:rPr>
          <w:i/>
        </w:rPr>
        <w:t xml:space="preserve">Artfaktablad. Naturvård – artfakta. </w:t>
      </w:r>
      <w:r>
        <w:t>SLU Artdatabanken, Uppsala.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