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36596-2024 i Skinnskattebergs kommun</w:t>
      </w:r>
    </w:p>
    <w:p>
      <w:r>
        <w:t>Detta dokument behandlar höga naturvärden i avverkningsanmälan A 36596-2024 i Skinnskattebergs kommun. Denna avverkningsanmälan inkom 2024-09-02 13:18:40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lakritsmusseron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3277"/>
            <wp:docPr id="1" name="Picture 1"/>
            <wp:cNvGraphicFramePr>
              <a:graphicFrameLocks noChangeAspect="1"/>
            </wp:cNvGraphicFramePr>
            <a:graphic>
              <a:graphicData uri="http://schemas.openxmlformats.org/drawingml/2006/picture">
                <pic:pic>
                  <pic:nvPicPr>
                    <pic:cNvPr id="0" name="A 36596-2024 karta.png"/>
                    <pic:cNvPicPr/>
                  </pic:nvPicPr>
                  <pic:blipFill>
                    <a:blip r:embed="rId16"/>
                    <a:stretch>
                      <a:fillRect/>
                    </a:stretch>
                  </pic:blipFill>
                  <pic:spPr>
                    <a:xfrm>
                      <a:off x="0" y="0"/>
                      <a:ext cx="5486400" cy="5893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6628904, E 529820 i SWEREF 99 TM.</w:t>
      </w:r>
    </w:p>
    <w:p>
      <w:r>
        <w:rPr>
          <w:b/>
        </w:rPr>
        <w:t>Lakritsmusseron (VU)</w:t>
      </w:r>
      <w:r>
        <w:t xml:space="preserve"> bildar mykorrhiza med tall, på torr, sandig, bergig och mager mark i äldre lavtallskog. Den är placerad högst upp i Skogsstyrelsens värdepyramid för bedömning av skog med höga naturvärden och är en mycket bra signalart som indikerar skyddsvärda sandskogar och hällmarksskogar med höga naturvärden. Arten bedöms ha minskat starkt och fortgår att minska, huvudsakligen p.g.a. slutavverkning av kontinuitetsskogar, främst tallhedar. Lakritsmusseron är globalt rödlistad som sårbar (VU) vilket innebär att Sverige har ett internationellt ansvar för arten (SLU Artdatabanken, 2024; Nitare &amp; Skogsstyrelsen, 2019; IUCN, 2015).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