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50674-2025 i Skinnskattebergs kommun</w:t>
      </w:r>
    </w:p>
    <w:p>
      <w:r>
        <w:t>Detta dokument behandlar höga naturvärden i avverkningsanmälan A 50674-2025 i Skinnskattebergs kommun. Denna avverkningsanmälan inkom 2025-10-15 17:31:51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säckmossa (VU)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7147"/>
            <wp:docPr id="1" name="Picture 1"/>
            <wp:cNvGraphicFramePr>
              <a:graphicFrameLocks noChangeAspect="1"/>
            </wp:cNvGraphicFramePr>
            <a:graphic>
              <a:graphicData uri="http://schemas.openxmlformats.org/drawingml/2006/picture">
                <pic:pic>
                  <pic:nvPicPr>
                    <pic:cNvPr id="0" name="A 50674-2025 karta.png"/>
                    <pic:cNvPicPr/>
                  </pic:nvPicPr>
                  <pic:blipFill>
                    <a:blip r:embed="rId16"/>
                    <a:stretch>
                      <a:fillRect/>
                    </a:stretch>
                  </pic:blipFill>
                  <pic:spPr>
                    <a:xfrm>
                      <a:off x="0" y="0"/>
                      <a:ext cx="5486400" cy="581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6633513, E 528525 i SWEREF 99 TM.</w:t>
      </w:r>
    </w:p>
    <w:p>
      <w:r>
        <w:rPr>
          <w:b/>
        </w:rPr>
        <w:t>Blå säckmossa (VU)</w:t>
      </w:r>
      <w:r>
        <w:t xml:space="preserve"> växer vanligen på fuktig humus eller lerblandad jord i granskog men även på lövförna i sumpalskog, gärna i anslutning till källor eller andra utströmningsområden. Liksom övriga säckmossor tål arten varken uttorkning eller full solbelysning någon längre tid. Till skillnad från övriga arter i släktet föredrar blå säckmossa relativt näringsrika skogar och ofta skogsmiljöer med rörligt grundvatten. Största hotet utgörs av kalavverkning och andra skogliga brukningsformer som innebär kraftig ljusexponering av växtplatserna eller som gör att plantorna torkar upp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