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2606-2026 i Skinnskattebergs kommun</w:t>
      </w:r>
    </w:p>
    <w:p>
      <w:r>
        <w:t>Detta klagomål behandlar höga naturvärden i avverkningsanmälan A 2606-2026 i Skinnskattebergs kommun som inkom 2026-01-15 och omfattar 4,9 ha.</w:t>
      </w:r>
    </w:p>
    <w:p>
      <w:pPr>
        <w:pStyle w:val="Caption"/>
      </w:pPr>
      <w:r>
        <w:drawing>
          <wp:inline xmlns:a="http://schemas.openxmlformats.org/drawingml/2006/main" xmlns:pic="http://schemas.openxmlformats.org/drawingml/2006/picture">
            <wp:extent cx="5486400" cy="4820478"/>
            <wp:docPr id="1" name="Picture 1"/>
            <wp:cNvGraphicFramePr>
              <a:graphicFrameLocks noChangeAspect="1"/>
            </wp:cNvGraphicFramePr>
            <a:graphic>
              <a:graphicData uri="http://schemas.openxmlformats.org/drawingml/2006/picture">
                <pic:pic>
                  <pic:nvPicPr>
                    <pic:cNvPr id="0" name="A 2606-2026 karta.png"/>
                    <pic:cNvPicPr/>
                  </pic:nvPicPr>
                  <pic:blipFill>
                    <a:blip r:embed="rId16"/>
                    <a:stretch>
                      <a:fillRect/>
                    </a:stretch>
                  </pic:blipFill>
                  <pic:spPr>
                    <a:xfrm>
                      <a:off x="0" y="0"/>
                      <a:ext cx="5486400" cy="482047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6640830, E 527307 i SWEREF 99 TM.</w:t>
      </w:r>
    </w:p>
    <w:p>
      <w:r>
        <w:t>I och inom 25 meter från avverkningsanmälan finns fynd av 8 naturvårdsarter, varav 2 är rödlistade, 1 är fridlyst, 8 är typiska (T) och 4 är signalarter (S): garnlav (VU, T), violettgrå tagellav (NT, T), bronshjon (S, T), bågpraktmossa (S, T), mörk husmossa (S, T), rostfläck (S, T), kärrfibbla (T)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