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62934-2025 i Skinnskattebergs kommun</w:t>
      </w:r>
    </w:p>
    <w:p>
      <w:r>
        <w:t>Detta klagomål behandlar höga naturvärden i avverkningsanmälan A 62934-2025 i Skinnskattebergs kommun som inkom 2025-12-18 och omfattar 1,7 ha.</w:t>
      </w:r>
    </w:p>
    <w:p>
      <w:pPr>
        <w:pStyle w:val="Caption"/>
      </w:pPr>
      <w:r>
        <w:drawing>
          <wp:inline xmlns:a="http://schemas.openxmlformats.org/drawingml/2006/main" xmlns:pic="http://schemas.openxmlformats.org/drawingml/2006/picture">
            <wp:extent cx="5486400" cy="4538064"/>
            <wp:docPr id="1" name="Picture 1"/>
            <wp:cNvGraphicFramePr>
              <a:graphicFrameLocks noChangeAspect="1"/>
            </wp:cNvGraphicFramePr>
            <a:graphic>
              <a:graphicData uri="http://schemas.openxmlformats.org/drawingml/2006/picture">
                <pic:pic>
                  <pic:nvPicPr>
                    <pic:cNvPr id="0" name="A 62934-2025 karta.png"/>
                    <pic:cNvPicPr/>
                  </pic:nvPicPr>
                  <pic:blipFill>
                    <a:blip r:embed="rId16"/>
                    <a:stretch>
                      <a:fillRect/>
                    </a:stretch>
                  </pic:blipFill>
                  <pic:spPr>
                    <a:xfrm>
                      <a:off x="0" y="0"/>
                      <a:ext cx="5486400" cy="453806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6641155, E 527301 i SWEREF 99 TM.</w:t>
      </w:r>
    </w:p>
    <w:p>
      <w:r>
        <w:t>I och inom 24 meter från avverkningsanmälan finns fynd av 6 naturvårdsarter, varav 1 är fridlyst, 6 är typiska (T) och 3 är signalarter (S): grönkulla (S, T, §8), mörk husmossa (S, T), stubbspretmossa (S, T), bäckbräsma (T), kärrfibbla (T) och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