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2609-2026 i Skinnskattebergs kommun</w:t>
      </w:r>
    </w:p>
    <w:p>
      <w:r>
        <w:t>Denna tillsynsbegäran behandlar höga naturvärden i avverkningsanmälan A 2609-2026 i Skinnskattebergs kommun som inkom 2026-01-15 och omfattar 1,7 ha.</w:t>
      </w:r>
    </w:p>
    <w:p>
      <w:pPr>
        <w:pStyle w:val="Caption"/>
      </w:pPr>
      <w:r>
        <w:drawing>
          <wp:inline xmlns:a="http://schemas.openxmlformats.org/drawingml/2006/main" xmlns:pic="http://schemas.openxmlformats.org/drawingml/2006/picture">
            <wp:extent cx="5486400" cy="4538064"/>
            <wp:docPr id="1" name="Picture 1"/>
            <wp:cNvGraphicFramePr>
              <a:graphicFrameLocks noChangeAspect="1"/>
            </wp:cNvGraphicFramePr>
            <a:graphic>
              <a:graphicData uri="http://schemas.openxmlformats.org/drawingml/2006/picture">
                <pic:pic>
                  <pic:nvPicPr>
                    <pic:cNvPr id="0" name="A 2609-2026 karta.png"/>
                    <pic:cNvPicPr/>
                  </pic:nvPicPr>
                  <pic:blipFill>
                    <a:blip r:embed="rId16"/>
                    <a:stretch>
                      <a:fillRect/>
                    </a:stretch>
                  </pic:blipFill>
                  <pic:spPr>
                    <a:xfrm>
                      <a:off x="0" y="0"/>
                      <a:ext cx="5486400" cy="4538064"/>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6641155, E 527301 i SWEREF 99 TM.</w:t>
      </w:r>
    </w:p>
    <w:p>
      <w:r>
        <w:t>I och inom 24 meter från avverkningsanmälan finns fynd av 6 naturvårdsarter, varav 1 är fridlyst, 6 är typiska (T) och 3 är signalarter (S): grönkulla (S, T, §8), mörk husmossa (S, T), stubbspretmossa (S, T), bäckbräsma (T), kärrfibbla (T) och ormbär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Grönkulla (§8) </w:t>
      </w:r>
      <w:r>
        <w:t xml:space="preserve">är typisk art för </w:t>
      </w:r>
      <w:r>
        <w:rPr>
          <w:i/>
        </w:rPr>
        <w:t xml:space="preserve">9040 Fjällbjörkskog, 9070 Trädklädd betesmark, 6170 Alpina kalkgräsmarker, 6520 Höglänta slåtterängar </w:t>
      </w:r>
      <w:r>
        <w:t>och</w:t>
      </w:r>
      <w:r>
        <w:rPr>
          <w:i/>
        </w:rPr>
        <w:t xml:space="preserve"> 6210 Kalkgräsmarker </w:t>
      </w:r>
      <w:r>
        <w:t>(SLU Artdatabanken, 2025).</w:t>
      </w:r>
    </w:p>
    <w:p>
      <w:r>
        <w:rPr>
          <w:b/>
        </w:rPr>
        <w:t xml:space="preserve">Mörk husmossa </w:t>
      </w:r>
      <w:r>
        <w:t xml:space="preserve">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Mörk husmossa är typisk art för </w:t>
      </w:r>
      <w:r>
        <w:rPr>
          <w:i/>
        </w:rPr>
        <w:t xml:space="preserve">9010 Taiga, 9050 Näringsrik granskog, 9080 Lövsumpskog, 9750 Svämlövskog, 9020 Nordlig ädellövskog, 9160 Näringsrik ekskog </w:t>
      </w:r>
      <w:r>
        <w:t>och</w:t>
      </w:r>
      <w:r>
        <w:rPr>
          <w:i/>
        </w:rPr>
        <w:t xml:space="preserve"> 9180 Ädellövskog i branter</w:t>
      </w:r>
      <w:r>
        <w:t xml:space="preserve"> (SLU Artdatabanken, 2024; Nitare &amp; Skogsstyrelsen, 2019).</w:t>
      </w:r>
    </w:p>
    <w:p>
      <w:r>
        <w:rPr>
          <w:b/>
        </w:rPr>
        <w:t>Stubbspretmossa</w:t>
      </w:r>
      <w:r>
        <w:t xml:space="preserve"> växer på ved i rika löv- och barrskogar med relativt hög luftfuktighet och indikerar fuktiga skogsmiljöer med gott om murken ved och ofta höga naturvärden. Stubbspretmossa är typisk art för </w:t>
      </w:r>
      <w:r>
        <w:rPr>
          <w:i/>
        </w:rPr>
        <w:t>9020 Nordlig ädellövskog</w:t>
      </w:r>
      <w:r>
        <w:t xml:space="preserve"> (SLU Artdatabanken, 2024).</w:t>
      </w:r>
    </w:p>
    <w:p>
      <w:r>
        <w:rPr>
          <w:b/>
        </w:rPr>
        <w:t>Bäckbräsma</w:t>
      </w:r>
      <w:r>
        <w:t xml:space="preserve"> är typisk art för </w:t>
      </w:r>
      <w:r>
        <w:rPr>
          <w:i/>
        </w:rPr>
        <w:t xml:space="preserve">9080 Lövsumpskog, 9750 Svämlövskog, 7160 Källor och källkärr </w:t>
      </w:r>
      <w:r>
        <w:t xml:space="preserve">och </w:t>
      </w:r>
      <w:r>
        <w:rPr>
          <w:i/>
        </w:rPr>
        <w:t>7310 Aapamyrar</w:t>
      </w:r>
      <w:r>
        <w:t xml:space="preserve"> (SLU Artdatabanken, 2025).</w:t>
      </w:r>
    </w:p>
    <w:p>
      <w:r>
        <w:rPr>
          <w:b/>
        </w:rPr>
        <w:t>Kärrfibbla</w:t>
      </w:r>
      <w:r>
        <w:t xml:space="preserve"> är typisk art för </w:t>
      </w:r>
      <w:r>
        <w:rPr>
          <w:i/>
        </w:rPr>
        <w:t xml:space="preserve">9050 Näringsrik granskog, 9080 Lövsumpskog </w:t>
      </w:r>
      <w:r>
        <w:t>och</w:t>
      </w:r>
      <w:r>
        <w:rPr>
          <w:i/>
        </w:rPr>
        <w:t xml:space="preserve"> 9040 Fjällbjörkskog </w:t>
      </w:r>
      <w:r>
        <w:t>(SLU Artdatabanken, 2025).</w:t>
      </w:r>
    </w:p>
    <w:p>
      <w:r>
        <w:rPr>
          <w:b/>
        </w:rPr>
        <w:t>Ormbär</w:t>
      </w:r>
      <w:r>
        <w:t xml:space="preserve"> är typisk art för </w:t>
      </w:r>
      <w:r>
        <w:rPr>
          <w:i/>
        </w:rPr>
        <w:t xml:space="preserve">9050 Näringsrik granskog </w:t>
      </w:r>
      <w:r>
        <w:t>(SLU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grönkulla (S, T, §8), mörk husmossa (S, T), stubbspretmossa (S, T), bäckbräsma (T), kärrfibbla (T) och ormbär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