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23016-2024 i Skinnskattebergs kommun</w:t>
      </w:r>
    </w:p>
    <w:p>
      <w:r>
        <w:t>Detta dokument behandlar höga naturvärden i avverkningsanmälan A 23016-2024 i Skinnskattebergs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entita (NT, §4), grönsångare (NT, §4), järpe (NT, §4), spillkråka (NT, §4), svartvit flugsnappare (NT, §4), svinrot (NT), tretåig hackspett (NT, §4), sångsvan (§4), fläcknycklar (§8), grönvit nattviol (§8), nattviol (§8) och nattviol × grönvit nattviol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3016-2024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6631143, E 539969 i SWEREF 99 TM.</w:t>
      </w:r>
    </w:p>
    <w:p>
      <w:pPr>
        <w:pStyle w:val="Heading1"/>
      </w:pPr>
      <w:r>
        <w:t>Fridlysta arter</w:t>
      </w:r>
    </w:p>
    <w:p>
      <w:r>
        <w:t>Följande fridlysta arter har sina livsmiljöer och växtplatser i den avverkningsanmälda skogen: entita (NT, §4), grönsångare (NT, §4), järpe (NT, §4), spillkråka (NT, §4), svartvit flugsnappare (NT, §4), tretåig hackspett (NT, §4), sångsvan (§4), fläcknycklar (§8), grönvit nattviol (§8), nattviol (§8) och nattviol ×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