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34759-2023 i Surahammars kommun</w:t>
      </w:r>
    </w:p>
    <w:p>
      <w:r>
        <w:t>Detta klagomål behandlar höga naturvärden i avverkningsanmälan A 34759-2023 i Surahammars kommun som inkom 2023-08-01 och omfattar 38,3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A 34759-2023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6628341, E 558284 i SWEREF 99 TM.</w:t>
      </w:r>
    </w:p>
    <w:p>
      <w:r>
        <w:t>I och inom 20 meter från avverkningsanmälan finns fynd av 19 naturvårdsarter, varav 9 är rödlistade, 8 är fridlysta, 11 är typiska (T) och 5 är signalarter (S): knärot (VU, T, §8), blå taggsvamp (NT, T), dropptaggsvamp (NT, T), grantaggsvamp (NT), motaggsvamp (NT, T), skogshare (NT), sotvaxskivling (NT), sparvuggla (NT, §4), ullticka (NT, T), grönpyrola (S, T), mindre märgborre (S, T), plattlummer (S, T, §9), svavelriska (S), vedticka (S, T), mattlummer (T, §9), tjäder (T, §4), grönsiska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7198117"/>
            <wp:docPr id="2" name="Picture 2"/>
            <wp:cNvGraphicFramePr>
              <a:graphicFrameLocks noChangeAspect="1"/>
            </wp:cNvGraphicFramePr>
            <a:graphic>
              <a:graphicData uri="http://schemas.openxmlformats.org/drawingml/2006/picture">
                <pic:pic>
                  <pic:nvPicPr>
                    <pic:cNvPr id="0" name="A 34759-2023 karta knärot.png"/>
                    <pic:cNvPicPr/>
                  </pic:nvPicPr>
                  <pic:blipFill>
                    <a:blip r:embed="rId17"/>
                    <a:stretch>
                      <a:fillRect/>
                    </a:stretch>
                  </pic:blipFill>
                  <pic:spPr>
                    <a:xfrm>
                      <a:off x="0" y="0"/>
                      <a:ext cx="5486400" cy="71981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6628341, E 558284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