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40942-2023 i Surahammars kommun</w:t>
      </w:r>
    </w:p>
    <w:p>
      <w:r>
        <w:t>Denna tillsynsbegäran behandlar höga naturvärden i avverkningsanmälan A 40942-2023 i Surahammars kommun som inkom 2023-08-31 och omfattar 7,6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40942-2023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6629745, E 560102 i SWEREF 99 TM.</w:t>
      </w:r>
    </w:p>
    <w:p>
      <w:r>
        <w:t>I och inom 25 meter från avverkningsanmälan finns fynd av 21 naturvårdsarter, varav 11 är rödlistade, 10 är fridlysta, 7 är typiska (T) och 2 är signalarter (S): fältgentiana (VU), starrgräsfjäril (VU), grentaggsvamp (NT), mindre tåtelsmygare (NT), motaggsvamp (NT, T), skogshare (NT), svartvit taggsvamp (NT), svinrot (NT), sädesärla (NT, §4), talltita (NT, §4), vårärt (NT, T), mindre märgborre (S, T), zontaggsvamp (S), blåsippa (T, §9), gråspett (T, §4), järpe (T, §4), spillkråka (T, §4), gröngöling (§4), större vattensalamander (§4a), åkergroda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vårärt (NT, T), mindre märgborre (S, T), blåsippa (T, §9), gråspett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