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dokument behandlar höga naturvärden i avverkningsanmälan A 4086-2025 i Surahammars kommun. Denna avverkningsanmälan inkom 2025-01-27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goliatmusseron (VU), knärot (VU, §8), lakritsmusseron (VU), rotfingersvamp (VU), rynkskinn (VU), vågticka (VU), dofttaggsvamp (NT), grantaggsvamp (NT), gropticka (NT), gul taggsvamp (NT), motaggsvamp (NT), orange taggsvamp (NT), rosenticka (NT), rödvingetrast (NT, §4), skrovlig taggsvamp (NT), svinrot (NT), ullticka (NT), blodticka (S), dropptaggsvamp (S), flagellkvastmossa (S), grönpyrola (S), gullgröppa (S), mindre märgborre (S), rödgul trumpetsvamp (S), skarp dropptaggsvamp (S), vedticka (S), zontaggsvamp (S), fläcknycklar (§8), blåsippa (§9), gullviva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8.28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