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20391-2024 i Surahammars kommun</w:t>
      </w:r>
    </w:p>
    <w:p>
      <w:r>
        <w:t>Detta klagomål behandlar höga naturvärden i avverkningsanmälan A 20391-2024 i Surahammars kommun som inkom 2024-05-23 och omfattar 1,5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20391-2024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6625994, E 558904 i SWEREF 99 TM.</w:t>
      </w:r>
    </w:p>
    <w:p>
      <w:r>
        <w:t>I och inom 7 meter från avverkningsanmälan finns fynd av 10 naturvårdsarter, varav 6 är rödlistade, 5 är fridlysta, 4 är typiska (T) och 2 är signalarter (S): duvhök (NT, §4), kattfotslav (NT, T), sparvuggla (NT, §4), talltita (NT, §4), vedtrappmossa (NT, T), vitfläckig guldvinge (NT), stubbspretmossa (S, T), vedticka (S, T), grönsiska (§4)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