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31280-2024 i Surahammars kommun</w:t>
      </w:r>
    </w:p>
    <w:p>
      <w:r>
        <w:t>Denna tillsynsbegäran behandlar höga naturvärden i avverkningsanmälan A 31280-2024 i Surahammars kommun som inkom 2024-07-31 och omfattar 6,9 ha.</w:t>
      </w:r>
    </w:p>
    <w:p>
      <w:pPr>
        <w:pStyle w:val="Caption"/>
      </w:pPr>
      <w:r>
        <w:drawing>
          <wp:inline xmlns:a="http://schemas.openxmlformats.org/drawingml/2006/main" xmlns:pic="http://schemas.openxmlformats.org/drawingml/2006/picture">
            <wp:extent cx="5486400" cy="4443480"/>
            <wp:docPr id="1" name="Picture 1"/>
            <wp:cNvGraphicFramePr>
              <a:graphicFrameLocks noChangeAspect="1"/>
            </wp:cNvGraphicFramePr>
            <a:graphic>
              <a:graphicData uri="http://schemas.openxmlformats.org/drawingml/2006/picture">
                <pic:pic>
                  <pic:nvPicPr>
                    <pic:cNvPr id="0" name="A 31280-2024 karta.png"/>
                    <pic:cNvPicPr/>
                  </pic:nvPicPr>
                  <pic:blipFill>
                    <a:blip r:embed="rId16"/>
                    <a:stretch>
                      <a:fillRect/>
                    </a:stretch>
                  </pic:blipFill>
                  <pic:spPr>
                    <a:xfrm>
                      <a:off x="0" y="0"/>
                      <a:ext cx="5486400" cy="44434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6624137, E 558377 i SWEREF 99 TM.</w:t>
      </w:r>
    </w:p>
    <w:p>
      <w:r>
        <w:t>I och inom 23 meter från avverkningsanmälan finns fynd av 44 naturvårdsarter, varav 27 är rödlistade, 8 är fridlysta, 18 är typiska (T) och 12 är signalarter (S): gränsticka (VU, T), knärot (VU, T, §8), liten hornflikmossa (VU), spadskinn (VU), torrmusseron (VU), apelsinticka (NT), fjällig taggsvamp s.str. (NT), grantaggsvamp (NT), gropticka (NT, T), kattfotslav (NT, T), knölspindel (NT), kötticka (NT), mjölsvärting (NT), nordfladdermus (NT, §4a), nordtagging (NT), persiljespindling (NT), rynkskinn (NT, T), skarp dropptaggsvamp (NT), svartvit taggsvamp (NT), tallkötticka (NT), tallticka (NT, T), talltita (NT, §4), ullticka (NT, T), vaddporing (NT), vedskivlav (NT, T), vedtrappmossa (NT, T), vågticka (NT), bollvitmossa (S, T), bronshjon (S, T), flagellkvastmossa (S, T), grönpyrola (S, T), kornknutmossa (S, T), mindre märgborre (S, T), rostfläck (S, T), rödgul trumpetsvamp (S), smal svampklubba (S), thomsons trägnagare (S), vedticka (S, T), vågbandad barkbock (S), blåsippa (T, §9), kungsfågel (§4), mindre vattensalamander (§6),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5716228"/>
            <wp:docPr id="2" name="Picture 2"/>
            <wp:cNvGraphicFramePr>
              <a:graphicFrameLocks noChangeAspect="1"/>
            </wp:cNvGraphicFramePr>
            <a:graphic>
              <a:graphicData uri="http://schemas.openxmlformats.org/drawingml/2006/picture">
                <pic:pic>
                  <pic:nvPicPr>
                    <pic:cNvPr id="0" name="A 31280-2024 karta knärot.png"/>
                    <pic:cNvPicPr/>
                  </pic:nvPicPr>
                  <pic:blipFill>
                    <a:blip r:embed="rId17"/>
                    <a:stretch>
                      <a:fillRect/>
                    </a:stretch>
                  </pic:blipFill>
                  <pic:spPr>
                    <a:xfrm>
                      <a:off x="0" y="0"/>
                      <a:ext cx="5486400" cy="5716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6624137, E 558377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gropticka (NT, T), kattfotslav (NT, T), rynkskinn (NT, T), tallticka (NT, T), ullticka (NT, T), vedskivlav (NT, T), vedtrappmossa (NT, T), bollvitmossa (S, T), bronshjon (S, T), flagellkvastmossa (S, T), grönpyrola (S, T), kornknutmossa (S, T), mindre märgborre (S, T), rostfläck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