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44798-2024 i Surahammars kommun</w:t>
      </w:r>
    </w:p>
    <w:p>
      <w:r>
        <w:t>Denna tillsynsbegäran behandlar höga naturvärden i avverkningsanmälan A 44798-2024 i Surahammars kommun som inkom 2024-10-09 och omfattar 4,4 ha.</w:t>
      </w:r>
    </w:p>
    <w:p>
      <w:pPr>
        <w:pStyle w:val="Caption"/>
      </w:pPr>
      <w:r>
        <w:drawing>
          <wp:inline xmlns:a="http://schemas.openxmlformats.org/drawingml/2006/main" xmlns:pic="http://schemas.openxmlformats.org/drawingml/2006/picture">
            <wp:extent cx="5308107" cy="5724000"/>
            <wp:docPr id="1" name="Picture 1"/>
            <wp:cNvGraphicFramePr>
              <a:graphicFrameLocks noChangeAspect="1"/>
            </wp:cNvGraphicFramePr>
            <a:graphic>
              <a:graphicData uri="http://schemas.openxmlformats.org/drawingml/2006/picture">
                <pic:pic>
                  <pic:nvPicPr>
                    <pic:cNvPr id="0" name="A 44798-2024 karta.png"/>
                    <pic:cNvPicPr/>
                  </pic:nvPicPr>
                  <pic:blipFill>
                    <a:blip r:embed="rId16"/>
                    <a:stretch>
                      <a:fillRect/>
                    </a:stretch>
                  </pic:blipFill>
                  <pic:spPr>
                    <a:xfrm>
                      <a:off x="0" y="0"/>
                      <a:ext cx="5308107"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6626809, E 564584 i SWEREF 99 TM.</w:t>
      </w:r>
    </w:p>
    <w:p>
      <w:r>
        <w:t>I och inom 23 meter från avverkningsanmälan finns fynd av 9 naturvårdsarter, varav 8 är rödlistade, 2 är typiska (T) och 1 är signalart (S): rosetticka (VU), brunklöver (NT), gropticka (NT, T), persiljespindling (NT), scharlakansvaxing (NT), svinrot (NT), ullticka (NT, T), vågticka (NT) och brandticka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Rosetticka (VU)</w:t>
      </w:r>
      <w:r>
        <w:t xml:space="preserve"> är en vedlevande svamp som orsakar brunröta. Den växer främst på barrträd men har även observerats på några olika slag av lövträd. Lågor, stubbar och rötter av gran är den vanligaste livsmiljön och ibland växer den upp från ved som ligger dold i marken. Arten förekommer framförallt på skuggiga och fuktiga lokaler med hög produktionsförmåga. Arten hotas genom att den hör hemma i en miljö som har stort värde för skogsproduktion och som det finns få skyddade områden av. Ett urval av de kända lokalerna måste kontrolleras och om arten återfinns måste området skyddas. För att möjliggöra att arten fortlever i landet måste fler bestånd med äldre, högproduktiv granskog undantas från skogsbruk. Detta gäller särskilt i södra Sverige där bara ett fåtal sådana områden hittills skyddats (SLU Artdatabanken, 2026).</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