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25573-2024 i Surahammars kommun</w:t>
      </w:r>
    </w:p>
    <w:p>
      <w:r>
        <w:t>Denna tillsynsbegäran behandlar höga naturvärden i avverkningsanmälan A 25573-2024 i Surahammars kommun som inkom 2024-06-20 och omfattar 20,3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6631359, E 560972 i SWEREF 99 TM.</w:t>
      </w:r>
    </w:p>
    <w:p>
      <w:r>
        <w:t>I och inom 6 meter från avverkningsanmälan finns fynd av 13 naturvårdsarter, varav 8 är rödlistade, 2 är fridlysta, 8 är typiska (T) och 5 är signalarter (S): knärot (VU, T, §8), skrovlig taggsvamp (VU), dropptaggsvamp (NT, T), gropticka (NT, T), krusfrö (NT), motaggsvamp (NT, T), talltita (NT, §4), vågticka (NT), blodticka (S, T), grönpyrola (S, T), gullgröppa (S),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motaggsvamp (NT, T), blodticka (S, T), grönpyrola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