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3918668"/>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3918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46 naturvårdsarter, varav 17 är rödlistade, 29 är fridlysta, 14 är typiska (T) och 7 är signalarter (S): grönfink (VU, §4), knärot (VU, T, §8), bivråk (NT, §4), brunlångöra (NT, §4a), dropptaggsvamp (NT, T), fjällig taggsvamp s.str. (NT), järnsparv (NT, §4), motaggsvamp (NT, T), nordfladdermus (NT, §4a), rödvingetrast (NT, §4),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sälg (T), tjäder (T, §4), tofsmes (T, §4), dvärgpipistrell (§4a), gröngöling (§4), kungsfågel (§4), orre (§4), slaguggla (§4), större brunfladdermus (§4a),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