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klagomål behandlar höga naturvärden i avverkningsanmälan A 21560-2025 i Surahammars kommun som inkom 2025-05-05 och omfattar 43,8 ha.</w:t>
      </w:r>
    </w:p>
    <w:p>
      <w:pPr>
        <w:pStyle w:val="Caption"/>
      </w:pPr>
      <w:r>
        <w:drawing>
          <wp:inline xmlns:a="http://schemas.openxmlformats.org/drawingml/2006/main" xmlns:pic="http://schemas.openxmlformats.org/drawingml/2006/picture">
            <wp:extent cx="5486400" cy="252072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2520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6626264, E 561274 i SWEREF 99 TM.</w:t>
      </w:r>
    </w:p>
    <w:p>
      <w:r>
        <w:t>I och inom 23 meter från avverkningsanmälan finns fynd av 16 naturvårdsarter, varav 6 är rödlistade, 6 är fridlysta, 10 är typiska (T) och 5 är signalarter (S): dofttaggsvamp (NT, T), motaggsvamp (NT, T), skogsklocka (NT), sotvaxskivling (NT), talltita (NT, §4), ullticka (NT, T), bronshjon (S, T), grönpyrola (S, T), mindre märgborre (S, T), vedticka (S, T), vågbandad barkbock (S), järpe (T, §4), mattlummer (T, §9), tjäder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