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42853-2022 i Surahammars kommun</w:t>
      </w:r>
    </w:p>
    <w:p>
      <w:r>
        <w:t>Detta dokument behandlar höga naturvärden i avverkningsanmälan A 42853-2022 i Surahammars kommun. Denna avverkningsanmälan inkom 2022-09-28 00:00:00 och omfattar 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ask (EN), kandelabersvamp (NT) och tvåblad (S,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48999"/>
            <wp:docPr id="1" name="Picture 1"/>
            <wp:cNvGraphicFramePr>
              <a:graphicFrameLocks noChangeAspect="1"/>
            </wp:cNvGraphicFramePr>
            <a:graphic>
              <a:graphicData uri="http://schemas.openxmlformats.org/drawingml/2006/picture">
                <pic:pic>
                  <pic:nvPicPr>
                    <pic:cNvPr id="0" name="A 42853-2022 karta.png"/>
                    <pic:cNvPicPr/>
                  </pic:nvPicPr>
                  <pic:blipFill>
                    <a:blip r:embed="rId16"/>
                    <a:stretch>
                      <a:fillRect/>
                    </a:stretch>
                  </pic:blipFill>
                  <pic:spPr>
                    <a:xfrm>
                      <a:off x="0" y="0"/>
                      <a:ext cx="5486400" cy="31489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6618759, E 560399 i SWEREF 99 TM.</w:t>
      </w:r>
    </w:p>
    <w:p>
      <w:r>
        <w:rPr>
          <w:b/>
        </w:rPr>
        <w:t>Kandelabersvamp (NT)</w:t>
      </w:r>
      <w:r>
        <w:t xml:space="preserve"> är en mycket bra signalart på skyddsvärda skogsbestånd i hela sitt utbredningsområde. Svampen indikerar sena aspsuccessioner inom områden med konstant hög luftfuktighet (Nitare &amp; Skogsstyrelsen, 2019).</w:t>
      </w:r>
    </w:p>
    <w:p>
      <w:pPr>
        <w:pStyle w:val="Heading1"/>
      </w:pPr>
      <w:r>
        <w:t>Fridlysta arter</w:t>
      </w:r>
    </w:p>
    <w:p>
      <w:r>
        <w:t>Följande fridlysta arter har sina livsmiljöer och växtplatser i den avverkningsanmälda skogen: tvåblad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