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12116-2023 i Surahammars kommun</w:t>
      </w:r>
    </w:p>
    <w:p>
      <w:r>
        <w:t>Detta dokument behandlar höga naturvärden i avverkningsanmälan A 12116-2023 i Surahammars kommun. Denna avverkningsanmälan inkom 2023-03-10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tornseglare (EN, §4), stare (VU, §4), björktrast (NT, §4), buskskvätta (NT, §4), duvhök (NT, §4), havsörn (NT, §4), rosenfink (NT, §4), rödvingetrast (NT, §4), spillkråka (NT, §4), stenfalk (NT, §4), enkelbeckasin (§4), gråspett (§4), gröngöling (§4), göktyta (§4), nattskärra (§4), skogsduva (§4), trädlärka (§4) och törnskata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12116-2023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6622187, E 566742 i SWEREF 99 TM.</w:t>
      </w:r>
    </w:p>
    <w:p>
      <w:pPr>
        <w:pStyle w:val="Heading1"/>
      </w:pPr>
      <w:r>
        <w:t>Fridlysta arter</w:t>
      </w:r>
    </w:p>
    <w:p>
      <w:r>
        <w:t>Följande fridlysta arter har sina livsmiljöer och växtplatser i den avverkningsanmälda skogen: tornseglare (EN, §4), stare (VU, §4), björktrast (NT, §4), buskskvätta (NT, §4), duvhök (NT, §4), havsörn (NT, §4), rosenfink (NT, §4), rödvingetrast (NT, §4), spillkråka (NT, §4), stenfalk (NT, §4), enkelbeckasin (§4), gråspett (§4), gröngöling (§4), göktyta (§4), nattskärra (§4), skogsduva (§4), trädlärka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