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69056-2020 i Surahammars kommun</w:t>
      </w:r>
    </w:p>
    <w:p>
      <w:r>
        <w:t>Detta dokument behandlar höga naturvärden i avverkningsanmälan A 69056-2020 i Surahammars kommun. Denna avverkningsanmälan inkom 2020-12-22 00:00:00 och omfattar 11,5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42 naturvårdsarter hittats: hängticka (VU), ostticka (VU), rynkskinn (VU), spadskinn (VU), vågticka (VU), barrpraktbagge (NT), blå taggsvamp (NT), brunpudrad nållav (NT), dofttaggsvamp (NT), duvhök (NT, §4), grantaggsvamp (NT), gropticka (NT), Hapalopilus aurantiacus (NT), Leptoporus erubescens (NT), motaggsvamp (NT), orange taggsvamp (NT), skorpgrynna (NT), skrovlig flatbagge (NT), skrovlig taggsvamp (NT), svart taggsvamp (NT), svartvit taggsvamp (NT), tallriska (NT), talltita (NT, §4), timmertickgnagare (NT), tretåig hackspett (NT, §4), ullticka (NT), vintertagging (NT), brandticka (S), bronshjon (S), dropptaggsvamp (S), flagellkvastmossa (S), grovticka (S), grön sköldmossa (S, §8), grönpyrola (S), gullgröppa (S), mindre märgborre (S), plattlummer (S, §9), stubbspretmossa (S), vågbandad barkbock (S), zontaggsvamp (S), sångsvan (§4) och revlummer (§9). Av dessa är 27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77709"/>
            <wp:docPr id="1" name="Picture 1"/>
            <wp:cNvGraphicFramePr>
              <a:graphicFrameLocks noChangeAspect="1"/>
            </wp:cNvGraphicFramePr>
            <a:graphic>
              <a:graphicData uri="http://schemas.openxmlformats.org/drawingml/2006/picture">
                <pic:pic>
                  <pic:nvPicPr>
                    <pic:cNvPr id="0" name="A 69056-2020 karta.png"/>
                    <pic:cNvPicPr/>
                  </pic:nvPicPr>
                  <pic:blipFill>
                    <a:blip r:embed="rId16"/>
                    <a:stretch>
                      <a:fillRect/>
                    </a:stretch>
                  </pic:blipFill>
                  <pic:spPr>
                    <a:xfrm>
                      <a:off x="0" y="0"/>
                      <a:ext cx="5486400" cy="3277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6627516, E 560466 i SWEREF 99 TM.</w:t>
      </w:r>
    </w:p>
    <w:p>
      <w:r>
        <w:rPr>
          <w:b/>
        </w:rPr>
        <w:t>Barrpraktbagge (NT)</w:t>
      </w:r>
      <w:r>
        <w:t xml:space="preserve"> är en skalbagge vars larvutveckling sker under bark på nyligen döda, solexponerade stammar av barrträd, i Sverige gran och tall. Arten missgynnas av bristen på solbelyst, färsk barrträdsved i skogslandskapet. Områden där stormfällningar eller skogsbrand skett, bör lämnas orörda utan uttag av virke, exempelvis genom naturvårdsavtal (SLU Artdatabanken, 2024).</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 xml:space="preserve">Grantaggsvamp (NT) </w:t>
      </w:r>
      <w:r>
        <w:t>påträffas främst i mossiga och örtrika äldre granskogar på kalkrik mark i något fuktiga lägen, och i norr även i mager tallskog med lång kontinuitet. Arten missgynnas generellt av trakthyggesbruket och en långsiktig tillgång till värdträd bör säkras genom att man undviker att avverka kända växtplatser (SLU Artdatabanken, 2024).</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 xml:space="preserve">Hängticka (VU) </w:t>
      </w:r>
      <w:r>
        <w:t>är en vedsvamp som växer på starkt multnade brunrötade stockar av olika barrträd men kan någon gång också uppträda på lövträd. Tickans ettåriga hattar sitter tilltryckta mot underlaget men fäster vid enbart på en eller ett par punkter på ovansidan. Den hängande hatten, sporernas form och artens växtplats ger ledning vid bestämningen, men arterna i släktet är svåra att skilja åt varför bra material och mikroskopering är nödvändigt för en säker artbestämning. Arten är sällsynt och tycks vara beroende av god tillgång på multnande ved. Den hotas därför av att lämpliga växtplatser saknas i rationellt skötta skogar. Artens växtplatser måste skyddas (SLU Artdatabanken, 2024).</w:t>
      </w:r>
    </w:p>
    <w:p>
      <w:r>
        <w:rPr>
          <w:b/>
          <w:i/>
        </w:rPr>
        <w:t xml:space="preserve">Leptoporus erubescens </w:t>
      </w:r>
      <w:r>
        <w:rPr>
          <w:b/>
        </w:rPr>
        <w:t>(NT)</w:t>
      </w:r>
      <w:r>
        <w:t xml:space="preserve"> är tallens kötticka och har ofta ett mer resupinat växtsätt än den granlevande köttickan </w:t>
      </w:r>
      <w:r>
        <w:rPr>
          <w:i/>
        </w:rPr>
        <w:t>Leptoporus mollis</w:t>
      </w:r>
      <w:r>
        <w:t>. Artens förekomstarea och utbredning i Sverige är inte känd, men utifrån de fynd som rapporteras av kötticka på tall verkar den vara mer ovanlig än den granlevande. Den totala populationen bedöms därför ha minskat under de senaste 30 åren och fortsätter att minska i takt med att kontinuitetsskogar (skogar som inte kalavverkats) minskar i areal, samtidigt som att lämpliga miljöer inte återskapas i samma takt. Minskningstakten för den svenska populationen bedöms vara nära gränsvärdet för Sårbar (VU). (A2c+3c+4c) (SLU Artdatabanken, 2024;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Skorpgrynna (NT)</w:t>
      </w:r>
      <w:r>
        <w:t xml:space="preserve"> är knuten till granlågor i rikare skogar, ofta äldre bestånd. Fortgående minskning i kombination med att antalet reproduktiva individer är lågt gör att arten rödlistas som Nära hotad (NT). (C2a(i)). Arten hotas av intensivt skogsbruk (SLU Artdatabanken, 2024).</w:t>
      </w:r>
    </w:p>
    <w:p>
      <w:r>
        <w:rPr>
          <w:b/>
        </w:rPr>
        <w:t xml:space="preserve">Skrovlig flatbagge (NT) </w:t>
      </w:r>
      <w:r>
        <w:t>är en skalbagge vars larvutveckling sker i mycelrik ved nära fruktkroppar av timmerticka eller citronticka i lågor av barrträd, främst tall, men även gran. Fullbildade skalbaggar påträffas i eller utanpå stammen vid näringsgnag på de vitaktiga, resupinata fruktkropparna. Arten missgynnas framförallt av att skogen blir tätare på grund av skogsskötsel och av att såväl återkommande bränder som skogsbete upphört. I naturligt öppnare miljöer hotas arten av vedtäkt och annat tillvaratagande av tallvirke. Naturligt brunnen tallskog i eller nära lokaler med arten bör skyddas. I skogsbruket bör mer naturvårdsträd av tall och vindfällen lämnas i fred. Detta är särskilt viktigt i kantzoner mot mer öppen mark tex. invid hällmarksimpediment. Skrovlig flatbagge</w:t>
      </w:r>
      <w:r>
        <w:rPr>
          <w:b/>
        </w:rPr>
        <w:t xml:space="preserve"> </w:t>
      </w:r>
      <w:r>
        <w:t>ingår i ett åtgärdsprogram för hotade arter (ÅGP) (SLU Artdatabanken, 2024; Wikars, 2014).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Spadskinn (VU)</w:t>
      </w:r>
      <w:r>
        <w:t xml:space="preserve"> är knuten till tallskogar med höga naturvärden och artens potentiella miljöer har minskat kraftigt och fortsätter att minska eftersom äldre sandtallskogar avverkas. Mykorrhiza-arter och andra marklevande svampar påverkas starkt negativt av slutavverkning då alla träd avlägsnas. Spadskinn är globalt rödlistad som sårbar (VU) vilket innebär att Sverige har ett internationellt ansvar för arten. Fler områden där arten förekommer behöver skyddas (SLU Artdatabanken, 2024; Nitare &amp; Skogsstyrelsen, 2019; IUCN, 2019).</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Tallriska (NT)</w:t>
      </w:r>
      <w:r>
        <w:t xml:space="preserve"> bildar mykorrhiza med tall och växer i äldre, mager och torr tallskog med lång trädkontinuitet, såsom tallhedar och sandtallskogar. Arten hotas huvudsakligen av avverkning av äldre tallskogar och på kända lokaler bör slutavverkning, markberedning och gödsling undvikas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Vintertagging (NT) </w:t>
      </w:r>
      <w:r>
        <w:t>växer på döda eller döende tallar som i huvudsak är mer än 250 år gamla. Den är en bra signalart som visar på gamla tallar och tallskogar med höga naturvärden. Den har klassificerats som en ”gammelskogsart” och svampen tycks kräva flerhundraåriga tallar som substrat. Arten hotas av minskande tillgång på döende och döda, äldre träd (SLU Artdatabanken, 2024; Nitare &amp; Skogsstyrelsen, 2019).</w:t>
      </w:r>
    </w:p>
    <w:p>
      <w:r>
        <w:rPr>
          <w:b/>
        </w:rPr>
        <w:t xml:space="preserve">Vågticka (VU) </w:t>
      </w:r>
      <w:r>
        <w:t>är knuten till kontinuitetsgranskogar med mycket död ved. Tidigare ansågs den som ytterst sällsynt men har nu blivit påträffad så många gånger att hotbilden eventuellt förändrats. Fortfarande är dock arten att anse som sårbar eftersom den fordrar rik tillgång till främst granlågor, ett substrat som minskat kraftigt i våra skogar. Vågtickans status bör ytterligare utredas. I väntan på detta måste fler av artens kända växtplatser säkerställas (SLU Artdatabanken, 2024).</w:t>
      </w:r>
    </w:p>
    <w:p>
      <w:pPr>
        <w:pStyle w:val="Heading1"/>
      </w:pPr>
      <w:r>
        <w:t>Fridlysta arter</w:t>
      </w:r>
    </w:p>
    <w:p>
      <w:r>
        <w:t>Följande fridlysta arter har sina livsmiljöer och växtplatser i den avverkningsanmälda skogen: duvhök (NT, §4), talltita (NT, §4), tretåig hackspett (NT, §4), grön sköldmossa (S, §8), plattlummer (S, §9), sångsvan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40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42 naturvårdsarter varav 27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